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ind w:firstLine="0"/>
        <w:rPr>
          <w:rFonts w:hint="eastAsia" w:eastAsia="黑体"/>
          <w:b/>
          <w:bCs/>
          <w:color w:val="000000"/>
          <w:sz w:val="84"/>
          <w:lang w:eastAsia="zh-CN"/>
        </w:rPr>
      </w:pPr>
      <w:r>
        <w:rPr>
          <w:rFonts w:hint="eastAsia" w:eastAsia="黑体"/>
          <w:b/>
          <w:bCs/>
          <w:color w:val="000000"/>
          <w:sz w:val="84"/>
          <w:lang w:eastAsia="zh-CN"/>
        </w:rPr>
      </w:r>
      <w:r/>
    </w:p>
    <w:p>
      <w:pPr>
        <w:pStyle w:val="990"/>
        <w:ind w:firstLine="0"/>
        <w:jc w:val="center"/>
        <w:rPr>
          <w:rFonts w:hint="eastAsia" w:eastAsia="黑体"/>
          <w:b/>
          <w:bCs/>
          <w:color w:val="000000"/>
          <w:sz w:val="84"/>
        </w:rPr>
      </w:pPr>
      <w:r>
        <w:rPr>
          <w:rFonts w:hint="eastAsia" w:eastAsia="黑体"/>
          <w:b/>
          <w:bCs/>
          <w:color w:val="000000"/>
          <w:sz w:val="84"/>
        </w:rPr>
        <w:t xml:space="preserve">招　标　文　件</w:t>
      </w:r>
      <w:r/>
    </w:p>
    <w:p>
      <w:pPr>
        <w:pStyle w:val="990"/>
        <w:ind w:firstLine="0"/>
        <w:rPr>
          <w:rFonts w:hint="eastAsia"/>
          <w:b/>
          <w:bCs/>
          <w:color w:val="000000"/>
          <w:sz w:val="32"/>
        </w:rPr>
      </w:pPr>
      <w:r>
        <w:rPr>
          <w:rFonts w:hint="eastAsia"/>
          <w:b/>
          <w:bCs/>
          <w:color w:val="000000"/>
          <w:sz w:val="32"/>
        </w:rPr>
      </w:r>
      <w:r/>
    </w:p>
    <w:p>
      <w:pPr>
        <w:pStyle w:val="990"/>
        <w:ind w:firstLine="0"/>
        <w:rPr>
          <w:rFonts w:hint="eastAsia"/>
          <w:b/>
          <w:bCs/>
          <w:color w:val="000000"/>
          <w:sz w:val="32"/>
        </w:rPr>
      </w:pPr>
      <w:r>
        <w:rPr>
          <w:rFonts w:hint="eastAsia"/>
          <w:b/>
          <w:bCs/>
          <w:color w:val="000000"/>
          <w:sz w:val="32"/>
        </w:rPr>
      </w:r>
      <w:r/>
    </w:p>
    <w:p>
      <w:pPr>
        <w:pStyle w:val="990"/>
        <w:ind w:firstLine="0"/>
        <w:jc w:val="center"/>
        <w:rPr>
          <w:rFonts w:hint="eastAsia"/>
          <w:b/>
          <w:bCs/>
          <w:color w:val="000000"/>
          <w:sz w:val="28"/>
          <w:szCs w:val="28"/>
        </w:rPr>
      </w:pPr>
      <w:r>
        <w:rPr>
          <w:rFonts w:hint="eastAsia"/>
          <w:b/>
          <w:bCs/>
          <w:color w:val="000000"/>
          <w:sz w:val="28"/>
          <w:szCs w:val="28"/>
        </w:rPr>
        <w:t xml:space="preserve">项目名称：</w:t>
      </w:r>
      <w:r>
        <w:rPr>
          <w:b/>
          <w:bCs/>
          <w:color w:val="000000"/>
          <w:sz w:val="28"/>
          <w:szCs w:val="28"/>
        </w:rPr>
        <w:t xml:space="preserve">江苏省生态环境厅网络安全设备与视频监控租赁服务</w:t>
      </w:r>
      <w:r>
        <w:rPr>
          <w:sz w:val="28"/>
          <w:szCs w:val="28"/>
        </w:rPr>
      </w:r>
      <w:r/>
    </w:p>
    <w:p>
      <w:pPr>
        <w:pStyle w:val="990"/>
        <w:ind w:firstLine="0"/>
        <w:jc w:val="center"/>
        <w:rPr>
          <w:b/>
          <w:color w:val="000000"/>
          <w:sz w:val="28"/>
          <w:szCs w:val="28"/>
        </w:rPr>
      </w:pPr>
      <w:r>
        <w:rPr>
          <w:rFonts w:hint="eastAsia"/>
          <w:b/>
          <w:bCs/>
          <w:color w:val="000000"/>
          <w:sz w:val="28"/>
          <w:szCs w:val="28"/>
        </w:rPr>
        <w:t xml:space="preserve">采购编号：</w:t>
      </w:r>
      <w:r>
        <w:rPr>
          <w:b/>
          <w:bCs/>
          <w:color w:val="000000"/>
          <w:sz w:val="28"/>
          <w:szCs w:val="28"/>
        </w:rPr>
        <w:t xml:space="preserve">JSZC-320000-SCZX-G2026-0176</w:t>
      </w:r>
      <w:r>
        <w:rPr>
          <w:sz w:val="28"/>
          <w:szCs w:val="28"/>
        </w:rPr>
      </w:r>
      <w:r/>
    </w:p>
    <w:p>
      <w:pPr>
        <w:pStyle w:val="903"/>
        <w:ind w:left="2811" w:hanging="2811"/>
        <w:jc w:val="center"/>
        <w:rPr>
          <w:rFonts w:hint="eastAsia"/>
          <w:b/>
          <w:color w:val="000000"/>
          <w:sz w:val="28"/>
          <w:szCs w:val="28"/>
        </w:rPr>
      </w:pPr>
      <w:r>
        <w:rPr>
          <w:rFonts w:hint="eastAsia"/>
          <w:b/>
          <w:color w:val="000000"/>
          <w:sz w:val="28"/>
          <w:szCs w:val="28"/>
        </w:rPr>
      </w:r>
      <w:r/>
    </w:p>
    <w:p>
      <w:pPr>
        <w:pStyle w:val="903"/>
        <w:ind w:left="2409" w:hanging="2409"/>
        <w:jc w:val="center"/>
        <w:rPr>
          <w:rFonts w:hint="eastAsia"/>
          <w:b/>
          <w:color w:val="000000"/>
          <w:sz w:val="24"/>
          <w:szCs w:val="24"/>
        </w:rPr>
      </w:pPr>
      <w:r>
        <w:rPr>
          <w:rFonts w:hint="eastAsia"/>
          <w:b/>
          <w:color w:val="000000"/>
          <w:sz w:val="24"/>
          <w:szCs w:val="24"/>
        </w:rPr>
      </w:r>
      <w:r/>
    </w:p>
    <w:p>
      <w:pPr>
        <w:pStyle w:val="990"/>
        <w:ind w:firstLine="0"/>
        <w:spacing w:before="0" w:after="0"/>
        <w:rPr>
          <w:rFonts w:hint="eastAsia" w:ascii="宋体" w:hAnsi="宋体"/>
          <w:color w:val="000000"/>
        </w:rPr>
      </w:pPr>
      <w:r>
        <w:rPr>
          <w:rFonts w:hint="eastAsia" w:ascii="宋体" w:hAnsi="宋体"/>
          <w:color w:val="000000"/>
        </w:rPr>
      </w:r>
      <w:r/>
    </w:p>
    <w:p>
      <w:pPr>
        <w:pStyle w:val="990"/>
        <w:ind w:firstLine="0"/>
        <w:spacing w:before="0" w:after="0"/>
        <w:rPr>
          <w:rFonts w:hint="eastAsia" w:ascii="宋体" w:hAnsi="宋体"/>
          <w:color w:val="000000"/>
        </w:rPr>
      </w:pPr>
      <w:r>
        <w:rPr>
          <w:rFonts w:hint="eastAsia" w:ascii="宋体" w:hAnsi="宋体"/>
          <w:color w:val="000000"/>
        </w:rPr>
      </w:r>
      <w:r/>
    </w:p>
    <w:p>
      <w:pPr>
        <w:pStyle w:val="990"/>
        <w:ind w:firstLine="0"/>
        <w:spacing w:before="0" w:after="0"/>
        <w:rPr>
          <w:rFonts w:hint="eastAsia" w:ascii="宋体" w:hAnsi="宋体"/>
          <w:color w:val="000000"/>
        </w:rPr>
      </w:pPr>
      <w:r>
        <w:rPr>
          <w:rFonts w:hint="eastAsia" w:ascii="宋体" w:hAnsi="宋体"/>
          <w:color w:val="000000"/>
        </w:rPr>
      </w:r>
      <w:r/>
    </w:p>
    <w:p>
      <w:pPr>
        <w:pStyle w:val="990"/>
        <w:ind w:firstLine="0"/>
        <w:spacing w:before="0" w:after="0"/>
        <w:rPr>
          <w:rFonts w:hint="eastAsia" w:ascii="宋体" w:hAnsi="宋体"/>
          <w:color w:val="000000"/>
        </w:rPr>
      </w:pPr>
      <w:r>
        <w:rPr>
          <w:rFonts w:hint="eastAsia" w:ascii="宋体" w:hAnsi="宋体"/>
          <w:color w:val="000000"/>
        </w:rPr>
      </w:r>
      <w:r/>
    </w:p>
    <w:p>
      <w:pPr>
        <w:pStyle w:val="990"/>
        <w:ind w:firstLine="0"/>
        <w:spacing w:before="0" w:after="0"/>
        <w:rPr>
          <w:rFonts w:hint="eastAsia" w:ascii="宋体" w:hAnsi="宋体"/>
          <w:color w:val="000000"/>
        </w:rPr>
      </w:pPr>
      <w:r>
        <w:rPr>
          <w:rFonts w:hint="eastAsia" w:ascii="宋体" w:hAnsi="宋体"/>
          <w:color w:val="000000"/>
        </w:rPr>
      </w:r>
      <w:r/>
    </w:p>
    <w:p>
      <w:pPr>
        <w:pStyle w:val="990"/>
        <w:ind w:firstLine="0"/>
        <w:spacing w:before="0" w:after="0"/>
        <w:rPr>
          <w:rFonts w:hint="eastAsia" w:ascii="宋体" w:hAnsi="宋体"/>
          <w:color w:val="000000"/>
        </w:rPr>
      </w:pPr>
      <w:r>
        <w:rPr>
          <w:rFonts w:hint="eastAsia" w:ascii="宋体" w:hAnsi="宋体"/>
          <w:color w:val="000000"/>
        </w:rPr>
      </w:r>
      <w:r/>
    </w:p>
    <w:p>
      <w:pPr>
        <w:pStyle w:val="990"/>
        <w:ind w:firstLine="0"/>
        <w:spacing w:before="0" w:after="0"/>
        <w:rPr>
          <w:rFonts w:hint="eastAsia" w:ascii="宋体" w:hAnsi="宋体"/>
          <w:color w:val="000000"/>
        </w:rPr>
      </w:pPr>
      <w:r>
        <w:rPr>
          <w:rFonts w:hint="eastAsia" w:ascii="宋体" w:hAnsi="宋体"/>
          <w:color w:val="000000"/>
        </w:rPr>
      </w:r>
      <w:r/>
    </w:p>
    <w:p>
      <w:pPr>
        <w:pStyle w:val="990"/>
        <w:ind w:firstLine="0"/>
        <w:jc w:val="center"/>
        <w:rPr>
          <w:rFonts w:hint="eastAsia"/>
          <w:b/>
          <w:bCs/>
          <w:color w:val="000000"/>
          <w:sz w:val="32"/>
        </w:rPr>
      </w:pPr>
      <w:r>
        <w:rPr>
          <w:rFonts w:hint="eastAsia"/>
          <w:b/>
          <w:bCs/>
          <w:color w:val="000000"/>
          <w:sz w:val="32"/>
        </w:rPr>
        <w:t xml:space="preserve">江苏省政府采购中心</w:t>
      </w:r>
      <w:r/>
    </w:p>
    <w:p>
      <w:pPr>
        <w:pStyle w:val="990"/>
        <w:ind w:firstLine="0"/>
        <w:jc w:val="center"/>
        <w:rPr>
          <w:rFonts w:hint="eastAsia"/>
          <w:b/>
          <w:bCs/>
          <w:color w:val="000000"/>
          <w:sz w:val="32"/>
        </w:rPr>
      </w:pPr>
      <w:r>
        <w:rPr>
          <w:rFonts w:hint="eastAsia"/>
          <w:b/>
          <w:bCs/>
          <w:color w:val="000000"/>
          <w:sz w:val="32"/>
          <w:lang w:eastAsia="zh-CN"/>
        </w:rPr>
        <w:t xml:space="preserve">2026</w:t>
      </w:r>
      <w:r>
        <w:rPr>
          <w:rFonts w:hint="eastAsia"/>
          <w:b/>
          <w:bCs/>
          <w:color w:val="000000"/>
          <w:sz w:val="32"/>
        </w:rPr>
        <w:t xml:space="preserve">年</w:t>
      </w:r>
      <w:r>
        <w:rPr>
          <w:rFonts w:hint="eastAsia"/>
          <w:b/>
          <w:bCs/>
          <w:color w:val="000000"/>
          <w:sz w:val="32"/>
          <w:lang w:eastAsia="zh-CN"/>
        </w:rPr>
        <w:t xml:space="preserve">5</w:t>
      </w:r>
      <w:r>
        <w:rPr>
          <w:rFonts w:hint="eastAsia"/>
          <w:b/>
          <w:bCs/>
          <w:color w:val="000000"/>
          <w:sz w:val="32"/>
        </w:rPr>
        <w:t xml:space="preserve">月</w:t>
      </w:r>
      <w:r/>
    </w:p>
    <w:p>
      <w:pPr>
        <w:pStyle w:val="990"/>
        <w:ind w:firstLine="0"/>
        <w:rPr>
          <w:rFonts w:hint="eastAsia"/>
          <w:color w:val="000000"/>
          <w:u w:val="single"/>
        </w:rPr>
      </w:pPr>
      <w:r>
        <w:rPr>
          <w:rFonts w:hint="eastAsia"/>
          <w:color w:val="000000"/>
        </w:rPr>
        <w:t xml:space="preserve">                        </w:t>
      </w:r>
      <w:r>
        <w:rPr>
          <w:rFonts w:hint="eastAsia"/>
          <w:color w:val="000000"/>
          <w:u w:val="single"/>
        </w:rPr>
      </w:r>
      <w:r/>
    </w:p>
    <w:p>
      <w:pPr>
        <w:pStyle w:val="990"/>
        <w:ind w:firstLine="0"/>
        <w:jc w:val="center"/>
        <w:rPr>
          <w:rFonts w:hint="eastAsia"/>
          <w:color w:val="000000"/>
        </w:rPr>
      </w:pPr>
      <w:r>
        <w:rPr>
          <w:rFonts w:hint="eastAsia"/>
          <w:color w:val="000000"/>
        </w:rPr>
      </w:r>
      <w:r/>
    </w:p>
    <w:p>
      <w:pPr>
        <w:pStyle w:val="903"/>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color w:val="000000"/>
        </w:rPr>
        <w:t xml:space="preserve"> </w:t>
      </w:r>
      <w:r>
        <w:rPr>
          <w:rFonts w:hint="eastAsia" w:ascii="黑体" w:hAnsi="Arial" w:eastAsia="黑体"/>
          <w:b/>
          <w:color w:val="000000"/>
          <w:sz w:val="44"/>
        </w:rPr>
        <w:t xml:space="preserve">总  目  录</w:t>
      </w:r>
      <w:r/>
    </w:p>
    <w:p>
      <w:pPr>
        <w:pStyle w:val="903"/>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903"/>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……………………………………3 </w:t>
      </w:r>
      <w:r>
        <w:rPr>
          <w:rFonts w:hint="eastAsia" w:ascii="黑体" w:hAnsi="Showcard Gothic" w:eastAsia="黑体"/>
          <w:color w:val="000000"/>
          <w:sz w:val="32"/>
        </w:rPr>
      </w:r>
      <w:r/>
    </w:p>
    <w:p>
      <w:pPr>
        <w:pStyle w:val="903"/>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………………………………6  </w:t>
      </w:r>
      <w:r/>
    </w:p>
    <w:p>
      <w:pPr>
        <w:pStyle w:val="903"/>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……………………………………15</w:t>
      </w:r>
      <w:r/>
    </w:p>
    <w:p>
      <w:pPr>
        <w:pStyle w:val="903"/>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……………………………………19</w:t>
      </w:r>
      <w:r/>
    </w:p>
    <w:p>
      <w:pPr>
        <w:pStyle w:val="903"/>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………………………51</w:t>
      </w:r>
      <w:r/>
    </w:p>
    <w:p>
      <w:pPr>
        <w:pStyle w:val="903"/>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………………………………58</w:t>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4"/>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color w:val="000000"/>
          <w:sz w:val="24"/>
          <w:szCs w:val="24"/>
        </w:rPr>
        <w:t xml:space="preserve">江苏省生态环境监控中心</w:t>
      </w:r>
      <w:r>
        <w:rPr>
          <w:rFonts w:hint="eastAsia" w:ascii="宋体" w:hAnsi="宋体"/>
          <w:color w:val="000000"/>
          <w:sz w:val="24"/>
          <w:szCs w:val="24"/>
        </w:rPr>
        <w:t xml:space="preserve">的委托，江苏省政府采购中心就</w:t>
      </w:r>
      <w:r>
        <w:rPr>
          <w:rFonts w:ascii="Segoe UI" w:hAnsi="Segoe UI" w:cs="Segoe UI"/>
          <w:color w:val="000000"/>
          <w:sz w:val="23"/>
          <w:szCs w:val="23"/>
          <w:shd w:val="clear" w:color="auto" w:fill="ffffff"/>
        </w:rPr>
        <w:t xml:space="preserve">江苏省生态环境厅网络安全设备与视频监控租赁服务</w:t>
      </w:r>
      <w:r>
        <w:rPr>
          <w:rFonts w:hint="eastAsia" w:ascii="宋体" w:hAnsi="宋体"/>
          <w:color w:val="000000"/>
          <w:sz w:val="24"/>
          <w:szCs w:val="24"/>
        </w:rPr>
        <w:t xml:space="preserve">(</w:t>
      </w:r>
      <w:r>
        <w:rPr>
          <w:rFonts w:ascii="Segoe UI" w:hAnsi="Segoe UI" w:cs="Segoe UI"/>
          <w:color w:val="000000"/>
          <w:sz w:val="23"/>
          <w:szCs w:val="23"/>
          <w:shd w:val="clear" w:color="auto" w:fill="ffffff"/>
        </w:rPr>
        <w:t xml:space="preserve">JSZC-320000-SCZX-G2026-0176</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903"/>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3"/>
        <w:ind w:firstLine="46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ascii="Segoe UI" w:hAnsi="Segoe UI" w:cs="Segoe UI"/>
          <w:color w:val="000000"/>
          <w:sz w:val="23"/>
          <w:szCs w:val="23"/>
          <w:shd w:val="clear" w:color="auto" w:fill="ffffff"/>
        </w:rPr>
        <w:t xml:space="preserve">江苏省生态环境厅网络安全设备与视频监控租赁服务</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2026</w:t>
      </w:r>
      <w:r>
        <w:rPr>
          <w:rFonts w:hint="eastAsia" w:ascii="宋体" w:hAnsi="宋体"/>
          <w:bCs/>
          <w:color w:val="000000"/>
          <w:sz w:val="24"/>
          <w:szCs w:val="24"/>
          <w:u w:val="single"/>
        </w:rPr>
        <w:t xml:space="preserve">年6月5日9点30分（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6"/>
        <w:ind w:firstLine="498"/>
        <w:spacing w:before="145" w:after="145" w:line="400" w:lineRule="exact"/>
        <w:rPr>
          <w:color w:val="000000"/>
        </w:rPr>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1.采购编号：</w:t>
      </w:r>
      <w:r>
        <w:rPr>
          <w:rFonts w:ascii="Segoe UI" w:hAnsi="Segoe UI" w:cs="Segoe UI"/>
          <w:color w:val="000000"/>
          <w:sz w:val="23"/>
          <w:szCs w:val="23"/>
          <w:shd w:val="clear" w:color="auto" w:fill="ffffff"/>
        </w:rPr>
        <w:t xml:space="preserve">JSZC-320000-SCZX-G2026-0176</w:t>
      </w:r>
      <w:r>
        <w:rPr>
          <w:rFonts w:hint="eastAsia" w:ascii="宋体" w:hAnsi="宋体"/>
          <w:color w:val="000000"/>
          <w:sz w:val="24"/>
          <w:szCs w:val="24"/>
        </w:rPr>
        <w:t xml:space="preserve">  </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ascii="Segoe UI" w:hAnsi="Segoe UI" w:cs="Segoe UI"/>
          <w:color w:val="000000"/>
          <w:sz w:val="23"/>
          <w:szCs w:val="23"/>
          <w:shd w:val="clear" w:color="auto" w:fill="ffffff"/>
        </w:rPr>
        <w:t xml:space="preserve">江苏省生态环境厅网络安全设备与视频监控租赁服务</w:t>
      </w:r>
      <w:r>
        <w:rPr>
          <w:rFonts w:ascii="宋体" w:hAnsi="宋体"/>
          <w:color w:val="000000"/>
          <w:sz w:val="24"/>
          <w:szCs w:val="24"/>
        </w:rPr>
      </w:r>
      <w:r/>
    </w:p>
    <w:p>
      <w:pPr>
        <w:pStyle w:val="903"/>
        <w:ind w:firstLine="480"/>
        <w:spacing w:line="400" w:lineRule="exact"/>
        <w:rPr>
          <w:rFonts w:ascii="宋体" w:hAnsi="宋体"/>
          <w:color w:val="000000"/>
          <w:sz w:val="24"/>
          <w:szCs w:val="24"/>
        </w:rPr>
      </w:pPr>
      <w:r/>
      <w:bookmarkEnd w:id="11"/>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3"/>
              <w:jc w:val="center"/>
              <w:spacing w:line="400" w:lineRule="exact"/>
              <w:rPr>
                <w:rFonts w:hint="eastAsia" w:ascii="宋体" w:hAnsi="宋体"/>
                <w:color w:val="000000"/>
              </w:rPr>
            </w:pPr>
            <w:r>
              <w:rPr>
                <w:rFonts w:hint="eastAsia" w:ascii="宋体" w:hAnsi="宋体"/>
                <w:color w:val="000000"/>
              </w:rPr>
              <w:t xml:space="preserve">采购包号</w:t>
            </w:r>
            <w:r/>
          </w:p>
        </w:tc>
        <w:tc>
          <w:tcPr>
            <w:tcW w:w="2800" w:type="dxa"/>
            <w:vAlign w:val="top"/>
            <w:textDirection w:val="lrTb"/>
            <w:noWrap w:val="false"/>
          </w:tcPr>
          <w:p>
            <w:pPr>
              <w:pStyle w:val="903"/>
              <w:jc w:val="center"/>
              <w:spacing w:line="400" w:lineRule="exact"/>
              <w:rPr>
                <w:rFonts w:hint="eastAsia" w:ascii="宋体" w:hAnsi="宋体"/>
                <w:color w:val="000000"/>
              </w:rPr>
            </w:pPr>
            <w:r>
              <w:rPr>
                <w:rFonts w:hint="eastAsia" w:ascii="宋体" w:hAnsi="宋体"/>
                <w:color w:val="000000"/>
              </w:rPr>
              <w:t xml:space="preserve">预算</w:t>
            </w:r>
            <w:r>
              <w:rPr>
                <w:rFonts w:ascii="宋体" w:hAnsi="宋体"/>
                <w:color w:val="000000"/>
              </w:rPr>
              <w:t xml:space="preserve">金额</w:t>
            </w:r>
            <w:r>
              <w:rPr>
                <w:rFonts w:hint="eastAsia" w:ascii="宋体" w:hAnsi="宋体"/>
                <w:color w:val="000000"/>
              </w:rPr>
              <w:t xml:space="preserve">（人民币</w:t>
            </w:r>
            <w:r>
              <w:rPr>
                <w:rFonts w:ascii="宋体" w:hAnsi="宋体"/>
                <w:color w:val="000000"/>
              </w:rPr>
              <w:t xml:space="preserve">：万元</w:t>
            </w:r>
            <w:r>
              <w:rPr>
                <w:rFonts w:hint="eastAsia" w:ascii="宋体" w:hAnsi="宋体"/>
                <w:color w:val="000000"/>
              </w:rPr>
              <w:t xml:space="preserve">）</w:t>
            </w:r>
            <w:r/>
          </w:p>
        </w:tc>
      </w:tr>
      <w:tr>
        <w:trPr/>
        <w:tc>
          <w:tcPr>
            <w:tcW w:w="1148" w:type="dxa"/>
            <w:vAlign w:val="top"/>
            <w:textDirection w:val="lrTb"/>
            <w:noWrap w:val="false"/>
          </w:tcPr>
          <w:p>
            <w:pPr>
              <w:pStyle w:val="903"/>
              <w:jc w:val="center"/>
              <w:spacing w:line="40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800" w:type="dxa"/>
            <w:vAlign w:val="top"/>
            <w:textDirection w:val="lrTb"/>
            <w:noWrap w:val="false"/>
          </w:tcPr>
          <w:p>
            <w:pPr>
              <w:pStyle w:val="903"/>
              <w:jc w:val="center"/>
              <w:spacing w:line="400" w:lineRule="exact"/>
              <w:rPr>
                <w:rFonts w:ascii="宋体" w:hAnsi="宋体"/>
                <w:color w:val="000000"/>
              </w:rPr>
            </w:pPr>
            <w:r>
              <w:rPr>
                <w:color w:val="000000"/>
                <w:sz w:val="24"/>
                <w:szCs w:val="24"/>
              </w:rPr>
              <w:t xml:space="preserve">825万元/三年</w:t>
            </w:r>
            <w:r>
              <w:rPr>
                <w:rFonts w:ascii="宋体" w:hAnsi="宋体"/>
                <w:color w:val="000000"/>
              </w:rPr>
            </w:r>
            <w:r/>
          </w:p>
        </w:tc>
      </w:tr>
      <w:tr>
        <w:trPr/>
        <w:tc>
          <w:tcPr>
            <w:tcW w:w="1148" w:type="dxa"/>
            <w:vAlign w:val="top"/>
            <w:textDirection w:val="lrTb"/>
            <w:noWrap w:val="false"/>
          </w:tcPr>
          <w:p>
            <w:pPr>
              <w:pStyle w:val="903"/>
              <w:jc w:val="center"/>
              <w:spacing w:line="400" w:lineRule="exact"/>
              <w:rPr>
                <w:rFonts w:ascii="宋体" w:hAnsi="宋体"/>
                <w:color w:val="000000"/>
              </w:rPr>
            </w:pPr>
            <w:r>
              <w:rPr>
                <w:rFonts w:hint="eastAsia" w:ascii="宋体" w:hAnsi="宋体"/>
                <w:color w:val="000000"/>
              </w:rPr>
              <w:t xml:space="preserve">2</w:t>
            </w:r>
            <w:r>
              <w:rPr>
                <w:rFonts w:ascii="宋体" w:hAnsi="宋体"/>
                <w:color w:val="000000"/>
              </w:rPr>
            </w:r>
            <w:r/>
          </w:p>
        </w:tc>
        <w:tc>
          <w:tcPr>
            <w:tcW w:w="2800" w:type="dxa"/>
            <w:vAlign w:val="top"/>
            <w:textDirection w:val="lrTb"/>
            <w:noWrap w:val="false"/>
          </w:tcPr>
          <w:p>
            <w:pPr>
              <w:pStyle w:val="903"/>
              <w:jc w:val="center"/>
              <w:spacing w:line="400" w:lineRule="exact"/>
              <w:rPr>
                <w:rFonts w:ascii="宋体" w:hAnsi="宋体"/>
                <w:color w:val="000000"/>
              </w:rPr>
            </w:pPr>
            <w:r>
              <w:rPr>
                <w:color w:val="000000"/>
                <w:sz w:val="24"/>
                <w:szCs w:val="24"/>
              </w:rPr>
              <w:t xml:space="preserve">594万元/三年</w:t>
            </w:r>
            <w:r>
              <w:rPr>
                <w:rFonts w:ascii="宋体" w:hAnsi="宋体"/>
                <w:color w:val="000000"/>
              </w:rPr>
            </w:r>
            <w:r/>
          </w:p>
        </w:tc>
      </w:tr>
    </w:tbl>
    <w:p>
      <w:pPr>
        <w:pStyle w:val="903"/>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03"/>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p>
          <w:p>
            <w:pPr>
              <w:pStyle w:val="903"/>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p>
        </w:tc>
        <w:tc>
          <w:tcPr>
            <w:tcW w:w="3135" w:type="dxa"/>
            <w:vAlign w:val="top"/>
            <w:textDirection w:val="lrTb"/>
            <w:noWrap w:val="false"/>
          </w:tcPr>
          <w:p>
            <w:pPr>
              <w:pStyle w:val="903"/>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p>
        </w:tc>
      </w:tr>
      <w:tr>
        <w:trPr/>
        <w:tc>
          <w:tcPr>
            <w:tcW w:w="1148" w:type="dxa"/>
            <w:vAlign w:val="top"/>
            <w:textDirection w:val="lrTb"/>
            <w:noWrap w:val="false"/>
          </w:tcPr>
          <w:p>
            <w:pPr>
              <w:pStyle w:val="903"/>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3135" w:type="dxa"/>
            <w:vAlign w:val="top"/>
            <w:textDirection w:val="lrTb"/>
            <w:noWrap w:val="false"/>
          </w:tcPr>
          <w:p>
            <w:pPr>
              <w:pStyle w:val="903"/>
              <w:jc w:val="center"/>
              <w:spacing w:line="0" w:lineRule="atLeast"/>
              <w:rPr>
                <w:rFonts w:hint="eastAsia" w:ascii="方正魏碑_GBK" w:hAnsi="方正魏碑_GBK" w:eastAsia="方正魏碑_GBK" w:cs="方正魏碑_GBK"/>
                <w:color w:val="000000"/>
                <w:sz w:val="24"/>
                <w:szCs w:val="24"/>
              </w:rPr>
            </w:pPr>
            <w:r>
              <w:rPr>
                <w:color w:val="000000"/>
                <w:sz w:val="24"/>
                <w:szCs w:val="24"/>
              </w:rPr>
              <w:t xml:space="preserve">275万元/年</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903"/>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p>
        </w:tc>
        <w:tc>
          <w:tcPr>
            <w:tcW w:w="3135" w:type="dxa"/>
            <w:vAlign w:val="top"/>
            <w:textDirection w:val="lrTb"/>
            <w:noWrap w:val="false"/>
          </w:tcPr>
          <w:p>
            <w:pPr>
              <w:pStyle w:val="903"/>
              <w:jc w:val="center"/>
              <w:spacing w:line="0" w:lineRule="atLeast"/>
              <w:rPr>
                <w:rFonts w:hint="eastAsia" w:ascii="方正魏碑_GBK" w:hAnsi="方正魏碑_GBK" w:eastAsia="方正魏碑_GBK" w:cs="方正魏碑_GBK"/>
                <w:color w:val="000000"/>
                <w:sz w:val="24"/>
                <w:szCs w:val="24"/>
              </w:rPr>
            </w:pPr>
            <w:r>
              <w:rPr>
                <w:color w:val="000000"/>
                <w:sz w:val="24"/>
                <w:szCs w:val="24"/>
              </w:rPr>
              <w:t xml:space="preserve">198万元/年</w:t>
            </w:r>
            <w:r>
              <w:rPr>
                <w:rFonts w:hint="eastAsia" w:ascii="方正魏碑_GBK" w:hAnsi="方正魏碑_GBK" w:eastAsia="方正魏碑_GBK" w:cs="方正魏碑_GBK"/>
                <w:color w:val="000000"/>
                <w:sz w:val="24"/>
                <w:szCs w:val="24"/>
              </w:rPr>
            </w:r>
            <w:r/>
          </w:p>
        </w:tc>
      </w:tr>
    </w:tbl>
    <w:p>
      <w:pPr>
        <w:pStyle w:val="903"/>
        <w:ind w:firstLine="482"/>
        <w:spacing w:line="400" w:lineRule="exact"/>
        <w:rPr>
          <w:rFonts w:hint="eastAsia" w:ascii="宋体" w:hAnsi="宋体"/>
          <w:b/>
          <w:color w:val="000000"/>
          <w:sz w:val="24"/>
          <w:szCs w:val="24"/>
        </w:rPr>
      </w:pPr>
      <w:r>
        <w:rPr>
          <w:rFonts w:hint="eastAsia" w:ascii="宋体" w:hAnsi="宋体"/>
          <w:b/>
          <w:color w:val="000000"/>
          <w:sz w:val="24"/>
          <w:szCs w:val="24"/>
        </w:rPr>
        <w:t xml:space="preserve">请供应商按照一年的预算报价。</w:t>
      </w:r>
      <w:r/>
    </w:p>
    <w:p>
      <w:pPr>
        <w:pStyle w:val="903"/>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color w:val="000000"/>
          <w:sz w:val="24"/>
          <w:szCs w:val="24"/>
        </w:rPr>
        <w:t xml:space="preserve">本项目为</w:t>
      </w:r>
      <w:r>
        <w:rPr>
          <w:b/>
          <w:bCs/>
          <w:color w:val="000000"/>
          <w:sz w:val="24"/>
          <w:szCs w:val="24"/>
        </w:rPr>
        <w:t xml:space="preserve">江苏省生态环境厅网络安全设备与视频监控租赁服务项目</w:t>
      </w:r>
      <w:r>
        <w:rPr>
          <w:color w:val="000000"/>
          <w:sz w:val="24"/>
          <w:szCs w:val="24"/>
        </w:rPr>
        <w:t xml:space="preserve">，服务期限3年，主要采购全省生态环境业务网运营、网络安全保障、视频监控运维、移动专网接入、机房与配套设备运维等一体化服务。具体包括：提供省、市、县三级网络设备与</w:t>
      </w:r>
      <w:r>
        <w:rPr>
          <w:color w:val="000000"/>
          <w:sz w:val="24"/>
          <w:szCs w:val="24"/>
        </w:rPr>
        <w:t xml:space="preserve">安全设备（含SDWAN、防火墙、漏洞扫描、日志审计、安全审查等）软硬件部署与运维；无锡、苏州、常州、宜兴等环太湖沿岸46个视频监控点位的设备维护、线路租赁及平台管理；5G VPDN移动专网接入，满足约 630 台移动终端安全接入需求；楼层交换机设备采购与质保；灾备机房租赁及数据同步服务；配套专网运维监控平台、7×24 小时驻场运维、省市县三级本地化技术支撑、网络安全运营、系统割接、培训及验收等全流程服务，确保全省生态环境业务网络、视频监控系统稳定、安全、连续运行，满足电子政务外网接入与业务不间断保障要求。</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903"/>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color w:val="000000"/>
          <w:sz w:val="24"/>
          <w:szCs w:val="24"/>
        </w:rPr>
        <w:t xml:space="preserve">合同签订之日起三年。</w:t>
      </w:r>
      <w:r>
        <w:rPr>
          <w:rFonts w:ascii="宋体" w:hAnsi="宋体"/>
          <w:color w:val="000000"/>
          <w:sz w:val="24"/>
          <w:szCs w:val="24"/>
          <w:u w:val="single"/>
        </w:rPr>
      </w:r>
      <w:r/>
    </w:p>
    <w:p>
      <w:pPr>
        <w:pStyle w:val="906"/>
        <w:ind w:firstLine="498"/>
        <w:spacing w:before="145" w:after="145" w:line="400" w:lineRule="exact"/>
        <w:rPr>
          <w:color w:val="000000"/>
        </w:rPr>
      </w:pPr>
      <w:r/>
      <w:bookmarkStart w:id="12" w:name="_Toc35393622"/>
      <w:r/>
      <w:bookmarkStart w:id="13" w:name="_Toc38985264"/>
      <w:r/>
      <w:bookmarkStart w:id="14" w:name="_Toc28359003"/>
      <w:r/>
      <w:bookmarkStart w:id="15" w:name="_Toc28359080"/>
      <w:r/>
      <w:bookmarkStart w:id="16" w:name="_Toc35393791"/>
      <w:r>
        <w:rPr>
          <w:rFonts w:hint="eastAsia"/>
          <w:color w:val="000000"/>
        </w:rPr>
        <w:t xml:space="preserve">二、申请人的资格要求：</w:t>
      </w:r>
      <w:bookmarkEnd w:id="12"/>
      <w:r/>
      <w:bookmarkEnd w:id="13"/>
      <w:r/>
      <w:bookmarkEnd w:id="14"/>
      <w:r/>
      <w:bookmarkEnd w:id="15"/>
      <w:r/>
      <w:bookmarkEnd w:id="16"/>
      <w:r>
        <w:rPr>
          <w:color w:val="000000"/>
        </w:rPr>
      </w:r>
      <w:r/>
    </w:p>
    <w:p>
      <w:pPr>
        <w:pStyle w:val="903"/>
        <w:ind w:firstLine="480"/>
        <w:spacing w:line="400" w:lineRule="exact"/>
        <w:rPr>
          <w:rFonts w:hint="eastAsia" w:ascii="宋体" w:hAnsi="宋体"/>
          <w:color w:val="000000"/>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3"/>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3.落实政府采购政策需满足的资格要求：无</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本项目不接受</w:t>
      </w:r>
      <w:r>
        <w:rPr>
          <w:rFonts w:hint="eastAsia" w:ascii="宋体" w:hAnsi="宋体"/>
          <w:color w:val="000000"/>
          <w:sz w:val="24"/>
          <w:szCs w:val="24"/>
        </w:rPr>
        <w:t xml:space="preserve">联合</w:t>
      </w:r>
      <w:r>
        <w:rPr>
          <w:rFonts w:ascii="宋体" w:hAnsi="宋体"/>
          <w:color w:val="000000"/>
          <w:sz w:val="24"/>
          <w:szCs w:val="24"/>
        </w:rPr>
        <w:t xml:space="preserve">体投标</w:t>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hint="eastAsia" w:ascii="宋体" w:hAnsi="宋体"/>
          <w:color w:val="000000"/>
          <w:sz w:val="24"/>
          <w:szCs w:val="24"/>
        </w:rPr>
        <w:t xml:space="preserve">：无</w:t>
      </w:r>
      <w:r>
        <w:rPr>
          <w:rFonts w:ascii="宋体" w:hAnsi="宋体"/>
          <w:color w:val="000000"/>
          <w:sz w:val="24"/>
          <w:szCs w:val="24"/>
        </w:rPr>
      </w:r>
      <w:r/>
    </w:p>
    <w:p>
      <w:pPr>
        <w:pStyle w:val="903"/>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03"/>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3"/>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0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06"/>
        <w:ind w:firstLine="498"/>
        <w:spacing w:before="145" w:after="145" w:line="400" w:lineRule="exact"/>
        <w:rPr>
          <w:color w:val="000000"/>
        </w:rPr>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Pr>
          <w:color w:val="000000"/>
        </w:rPr>
      </w:r>
      <w:r/>
    </w:p>
    <w:p>
      <w:pPr>
        <w:pStyle w:val="903"/>
        <w:ind w:firstLine="480"/>
        <w:spacing w:line="400" w:lineRule="exact"/>
        <w:rPr>
          <w:rFonts w:ascii="宋体" w:hAnsi="宋体"/>
          <w:bCs/>
          <w:color w:val="000000"/>
          <w:sz w:val="24"/>
          <w:szCs w:val="24"/>
          <w:u w:val="single"/>
        </w:rPr>
      </w:pPr>
      <w:r>
        <w:rPr>
          <w:rFonts w:hint="eastAsia" w:ascii="宋体" w:hAnsi="宋体"/>
          <w:bCs/>
          <w:color w:val="000000"/>
          <w:sz w:val="24"/>
          <w:szCs w:val="24"/>
          <w:u w:val="single"/>
        </w:rPr>
        <w:t xml:space="preserve">1.2026 年6月5日9点30分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903"/>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03"/>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06"/>
        <w:ind w:firstLine="498"/>
        <w:spacing w:before="145" w:after="145" w:line="400" w:lineRule="exact"/>
        <w:rPr>
          <w:color w:val="000000"/>
        </w:rPr>
      </w:pPr>
      <w:r/>
      <w:bookmarkStart w:id="32" w:name="_Toc35393795"/>
      <w:r/>
      <w:bookmarkStart w:id="33" w:name="_Toc38985268"/>
      <w:r/>
      <w:bookmarkStart w:id="34" w:name="_Toc35393626"/>
      <w:r>
        <w:rPr>
          <w:rFonts w:hint="eastAsia"/>
          <w:color w:val="000000"/>
        </w:rPr>
        <w:t xml:space="preserve">六、其他补充事宜</w:t>
      </w:r>
      <w:bookmarkEnd w:id="32"/>
      <w:r/>
      <w:bookmarkEnd w:id="33"/>
      <w:r/>
      <w:bookmarkEnd w:id="34"/>
      <w:r>
        <w:rPr>
          <w:color w:val="000000"/>
        </w:rPr>
      </w:r>
      <w:r/>
    </w:p>
    <w:p>
      <w:pPr>
        <w:pStyle w:val="903"/>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6"/>
        <w:ind w:firstLine="498"/>
        <w:spacing w:before="145" w:after="145" w:line="400" w:lineRule="exact"/>
        <w:rPr>
          <w:color w:val="000000"/>
        </w:rPr>
      </w:pPr>
      <w:r/>
      <w:bookmarkStart w:id="35" w:name="_Toc35393796"/>
      <w:r/>
      <w:bookmarkStart w:id="36" w:name="_Toc38985269"/>
      <w:r/>
      <w:bookmarkStart w:id="37" w:name="_Toc28359085"/>
      <w:r/>
      <w:bookmarkStart w:id="38" w:name="_Toc35393627"/>
      <w:r/>
      <w:bookmarkStart w:id="39" w:name="_Toc28359008"/>
      <w:r>
        <w:rPr>
          <w:rFonts w:hint="eastAsia"/>
          <w:color w:val="000000"/>
        </w:rPr>
        <w:t xml:space="preserve">七、本次招标联系方式</w:t>
      </w:r>
      <w:bookmarkEnd w:id="35"/>
      <w:r/>
      <w:bookmarkEnd w:id="36"/>
      <w:r/>
      <w:bookmarkEnd w:id="37"/>
      <w:r/>
      <w:bookmarkEnd w:id="38"/>
      <w:r/>
      <w:bookmarkEnd w:id="39"/>
      <w:r>
        <w:rPr>
          <w:color w:val="000000"/>
        </w:rPr>
      </w:r>
      <w:r/>
    </w:p>
    <w:p>
      <w:pPr>
        <w:pStyle w:val="903"/>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3"/>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color w:val="000000"/>
          <w:sz w:val="24"/>
          <w:szCs w:val="24"/>
          <w:u w:val="single"/>
        </w:rPr>
        <w:t xml:space="preserve">江苏生态环境监控中心</w:t>
      </w:r>
      <w:r>
        <w:rPr>
          <w:rFonts w:ascii="宋体" w:hAnsi="宋体"/>
          <w:color w:val="000000"/>
          <w:sz w:val="24"/>
          <w:szCs w:val="24"/>
        </w:rPr>
      </w:r>
      <w:r/>
    </w:p>
    <w:p>
      <w:pPr>
        <w:pStyle w:val="903"/>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地址：</w:t>
      </w:r>
      <w:r>
        <w:rPr>
          <w:color w:val="000000"/>
          <w:sz w:val="24"/>
          <w:szCs w:val="24"/>
          <w:u w:val="single"/>
        </w:rPr>
        <w:t xml:space="preserve">南京市江东北路176号</w:t>
      </w:r>
      <w:r>
        <w:rPr>
          <w:rFonts w:ascii="宋体" w:hAnsi="宋体"/>
          <w:color w:val="000000"/>
          <w:sz w:val="24"/>
          <w:szCs w:val="24"/>
        </w:rPr>
      </w:r>
      <w:r/>
    </w:p>
    <w:p>
      <w:pPr>
        <w:pStyle w:val="903"/>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杨清</w:t>
      </w:r>
      <w:r>
        <w:rPr>
          <w:rFonts w:ascii="宋体" w:hAnsi="宋体"/>
          <w:color w:val="000000"/>
          <w:sz w:val="24"/>
          <w:szCs w:val="24"/>
        </w:rPr>
      </w:r>
      <w:r/>
    </w:p>
    <w:p>
      <w:pPr>
        <w:pStyle w:val="903"/>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0" w:name="_Toc28359009"/>
      <w:r/>
      <w:bookmarkStart w:id="41" w:name="_Toc28359086"/>
      <w:r>
        <w:rPr>
          <w:rFonts w:ascii="宋体" w:hAnsi="宋体"/>
          <w:color w:val="000000"/>
          <w:sz w:val="24"/>
          <w:szCs w:val="24"/>
          <w:u w:val="single"/>
        </w:rPr>
        <w:t xml:space="preserve">025-58527064</w:t>
      </w:r>
      <w:r>
        <w:rPr>
          <w:rFonts w:ascii="宋体" w:hAnsi="宋体"/>
          <w:color w:val="000000"/>
          <w:sz w:val="24"/>
          <w:szCs w:val="24"/>
          <w:u w:val="single"/>
        </w:rPr>
      </w:r>
      <w:r/>
    </w:p>
    <w:p>
      <w:pPr>
        <w:pStyle w:val="903"/>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03"/>
        <w:ind w:firstLine="72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903"/>
        <w:ind w:firstLine="72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张倩</w:t>
      </w:r>
      <w:r>
        <w:rPr>
          <w:rFonts w:hint="eastAsia" w:ascii="宋体" w:hAnsi="宋体"/>
          <w:color w:val="000000"/>
          <w:sz w:val="24"/>
          <w:szCs w:val="24"/>
          <w:u w:val="single"/>
        </w:rPr>
        <w:t xml:space="preserve">、许滢</w:t>
      </w:r>
      <w:r>
        <w:rPr>
          <w:rFonts w:ascii="宋体" w:hAnsi="宋体"/>
          <w:color w:val="000000"/>
          <w:sz w:val="24"/>
          <w:szCs w:val="24"/>
        </w:rPr>
      </w:r>
      <w:r/>
    </w:p>
    <w:p>
      <w:pPr>
        <w:pStyle w:val="903"/>
        <w:ind w:firstLine="72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87"/>
      <w:r/>
      <w:bookmarkStart w:id="43" w:name="_Toc28359010"/>
      <w:r>
        <w:rPr>
          <w:rFonts w:ascii="宋体" w:hAnsi="宋体"/>
          <w:color w:val="000000"/>
          <w:sz w:val="24"/>
          <w:szCs w:val="24"/>
          <w:u w:val="single"/>
        </w:rPr>
        <w:t xml:space="preserve">025-83668527</w:t>
      </w:r>
      <w:r>
        <w:rPr>
          <w:rFonts w:ascii="宋体" w:hAnsi="宋体"/>
          <w:color w:val="000000"/>
          <w:sz w:val="24"/>
          <w:szCs w:val="24"/>
        </w:rPr>
      </w:r>
      <w:r/>
    </w:p>
    <w:p>
      <w:pPr>
        <w:pStyle w:val="906"/>
        <w:ind w:firstLine="498"/>
        <w:spacing w:before="145" w:after="145" w:line="400" w:lineRule="exact"/>
        <w:rPr>
          <w:color w:val="000000"/>
        </w:rPr>
      </w:pPr>
      <w:r/>
      <w:bookmarkEnd w:id="42"/>
      <w:r/>
      <w:bookmarkEnd w:id="43"/>
      <w:r>
        <w:rPr>
          <w:rFonts w:hint="eastAsia"/>
          <w:color w:val="000000"/>
        </w:rPr>
        <w:t xml:space="preserve">八、其他</w:t>
      </w:r>
      <w:r>
        <w:rPr>
          <w:color w:val="000000"/>
        </w:rPr>
      </w:r>
      <w:r/>
    </w:p>
    <w:p>
      <w:pPr>
        <w:pStyle w:val="903"/>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903"/>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903"/>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pStyle w:val="903"/>
        <w:ind w:firstLine="480"/>
        <w:rPr>
          <w:rFonts w:hint="eastAsia" w:ascii="宋体" w:hAnsi="宋体" w:cs="宋体"/>
          <w:color w:val="000000"/>
          <w:sz w:val="24"/>
          <w:szCs w:val="24"/>
          <w:highlight w:val="none"/>
        </w:rPr>
      </w:pPr>
      <w:r>
        <w:rPr>
          <w:rFonts w:hint="eastAsia" w:ascii="宋体" w:hAnsi="宋体" w:cs="宋体"/>
          <w:color w:val="000000"/>
          <w:sz w:val="24"/>
          <w:szCs w:val="24"/>
        </w:rPr>
        <w:t xml:space="preserve">3.本次招标不收取投标保证金。</w:t>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3"/>
        <w:ind w:right="840"/>
        <w:rPr>
          <w:rFonts w:hint="eastAsia" w:ascii="宋体" w:hAnsi="宋体"/>
          <w:color w:val="000000"/>
          <w:sz w:val="24"/>
          <w:szCs w:val="24"/>
        </w:rPr>
      </w:pPr>
      <w:r>
        <w:rPr>
          <w:rFonts w:hint="eastAsia" w:ascii="宋体" w:hAnsi="宋体"/>
          <w:color w:val="000000"/>
          <w:sz w:val="24"/>
          <w:szCs w:val="24"/>
        </w:rPr>
      </w:r>
      <w:r/>
    </w:p>
    <w:p>
      <w:pPr>
        <w:pStyle w:val="905"/>
        <w:ind w:firstLine="2429"/>
        <w:jc w:val="both"/>
        <w:spacing w:line="400" w:lineRule="exact"/>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color w:val="000000"/>
        </w:rPr>
        <w:t xml:space="preserve">投标人须知</w:t>
      </w:r>
      <w:bookmarkEnd w:id="45"/>
      <w:r/>
      <w:bookmarkEnd w:id="46"/>
      <w:r/>
      <w:bookmarkEnd w:id="47"/>
      <w:r/>
      <w:bookmarkEnd w:id="48"/>
      <w:r>
        <w:rPr>
          <w:rFonts w:hint="eastAsia" w:ascii="黑体" w:eastAsia="黑体"/>
          <w:b w:val="0"/>
          <w:bCs w:val="0"/>
          <w:color w:val="000000"/>
        </w:rPr>
      </w:r>
      <w:r/>
    </w:p>
    <w:p>
      <w:pPr>
        <w:pStyle w:val="906"/>
        <w:ind w:firstLine="498"/>
        <w:spacing w:before="145" w:after="145" w:line="400" w:lineRule="exact"/>
        <w:rPr>
          <w:rFonts w:hint="eastAsia"/>
          <w:color w:val="000000"/>
        </w:rPr>
      </w:pPr>
      <w:r/>
      <w:bookmarkStart w:id="49" w:name="_Toc20823275"/>
      <w:r/>
      <w:bookmarkStart w:id="50" w:name="_Toc16938519"/>
      <w:r/>
      <w:bookmarkStart w:id="51" w:name="_Toc513029203"/>
      <w:r/>
      <w:bookmarkStart w:id="52" w:name="_Toc120614214"/>
      <w:r>
        <w:rPr>
          <w:rFonts w:hint="eastAsia"/>
          <w:color w:val="000000"/>
        </w:rPr>
        <w:t xml:space="preserve">一、总则</w:t>
      </w:r>
      <w:bookmarkEnd w:id="49"/>
      <w:r/>
      <w:bookmarkEnd w:id="50"/>
      <w:r/>
      <w:bookmarkEnd w:id="51"/>
      <w:r/>
      <w:bookmarkEnd w:id="52"/>
      <w:r>
        <w:rPr>
          <w:rFonts w:hint="eastAsia"/>
          <w:color w:val="000000"/>
        </w:rPr>
      </w:r>
      <w:r/>
    </w:p>
    <w:p>
      <w:pPr>
        <w:pStyle w:val="907"/>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Pr>
          <w:rFonts w:hint="eastAsia"/>
          <w:b w:val="0"/>
          <w:bCs w:val="0"/>
          <w:color w:val="000000"/>
        </w:rPr>
      </w:r>
      <w:r/>
    </w:p>
    <w:p>
      <w:pPr>
        <w:pStyle w:val="903"/>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07"/>
        <w:ind w:firstLine="420"/>
        <w:spacing w:before="0" w:after="0" w:line="400" w:lineRule="exact"/>
        <w:rPr>
          <w:rFonts w:hint="eastAsia"/>
          <w:b w:val="0"/>
          <w:bCs w:val="0"/>
          <w:color w:val="000000"/>
        </w:rPr>
      </w:pPr>
      <w:r/>
      <w:bookmarkStart w:id="58" w:name="_Toc20823277"/>
      <w:r/>
      <w:bookmarkStart w:id="59" w:name="_Toc16938521"/>
      <w:r/>
      <w:bookmarkStart w:id="60" w:name="_Toc513029205"/>
      <w:r>
        <w:rPr>
          <w:rFonts w:hint="eastAsia"/>
          <w:b w:val="0"/>
          <w:bCs w:val="0"/>
          <w:color w:val="000000"/>
        </w:rPr>
        <w:t xml:space="preserve">2、合格的投标人</w:t>
      </w:r>
      <w:bookmarkEnd w:id="58"/>
      <w:r/>
      <w:bookmarkEnd w:id="59"/>
      <w:r/>
      <w:bookmarkEnd w:id="60"/>
      <w:r>
        <w:rPr>
          <w:rFonts w:hint="eastAsia"/>
          <w:b w:val="0"/>
          <w:bCs w:val="0"/>
          <w:color w:val="000000"/>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07"/>
        <w:ind w:firstLine="422"/>
        <w:spacing w:before="0" w:after="0" w:line="400" w:lineRule="exact"/>
        <w:rPr>
          <w:rFonts w:hint="eastAsia" w:cs="Arial"/>
          <w:color w:val="000000"/>
          <w:lang w:eastAsia="zh-CN"/>
        </w:rPr>
      </w:pPr>
      <w:r/>
      <w:bookmarkStart w:id="61" w:name="_Toc20823278"/>
      <w:r/>
      <w:bookmarkStart w:id="62" w:name="_Toc513029206"/>
      <w:r/>
      <w:bookmarkStart w:id="63" w:name="_Toc16938522"/>
      <w:r>
        <w:rPr>
          <w:rFonts w:hint="eastAsia" w:cs="Arial"/>
          <w:color w:val="000000"/>
        </w:rPr>
        <w:t xml:space="preserve">3、适用法律</w:t>
      </w:r>
      <w:bookmarkEnd w:id="61"/>
      <w:r/>
      <w:bookmarkEnd w:id="62"/>
      <w:r/>
      <w:bookmarkEnd w:id="63"/>
      <w:r>
        <w:rPr>
          <w:rFonts w:hint="eastAsia" w:cs="Arial"/>
          <w:color w:val="000000"/>
          <w:lang w:eastAsia="zh-CN"/>
        </w:rPr>
        <w:t xml:space="preserve">和标准</w:t>
      </w:r>
      <w:r/>
    </w:p>
    <w:p>
      <w:pPr>
        <w:pStyle w:val="903"/>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03"/>
        <w:ind w:firstLine="420"/>
        <w:spacing w:line="400" w:lineRule="exact"/>
        <w:rPr>
          <w:rFonts w:hint="eastAsia" w:ascii="宋体" w:hAnsi="宋体"/>
          <w:color w:val="000000"/>
          <w:sz w:val="24"/>
        </w:rPr>
      </w:pPr>
      <w:r/>
      <w:bookmarkStart w:id="64" w:name="_Toc16938523"/>
      <w:r/>
      <w:bookmarkStart w:id="65" w:name="_Toc462564067"/>
      <w:r/>
      <w:bookmarkStart w:id="66" w:name="_Toc20823279"/>
      <w:r/>
      <w:bookmarkStart w:id="67" w:name="_Toc513029207"/>
      <w:r>
        <w:rPr>
          <w:rFonts w:hint="eastAsia" w:ascii="宋体" w:hAnsi="宋体"/>
          <w:color w:val="000000"/>
          <w:sz w:val="24"/>
        </w:rPr>
        <w:t xml:space="preserve">3.2 在本项目政府采购活动过程中，如果所执行的标准有更新的，按照最新标准执行。</w:t>
      </w:r>
      <w:r/>
    </w:p>
    <w:p>
      <w:pPr>
        <w:pStyle w:val="907"/>
        <w:ind w:firstLine="420"/>
        <w:spacing w:before="0" w:after="0" w:line="400" w:lineRule="exact"/>
        <w:rPr>
          <w:rFonts w:hint="eastAsia"/>
          <w:b w:val="0"/>
          <w:bCs w:val="0"/>
          <w:color w:val="000000"/>
        </w:rPr>
      </w:pPr>
      <w:r>
        <w:rPr>
          <w:rFonts w:hint="eastAsia"/>
          <w:b w:val="0"/>
          <w:bCs w:val="0"/>
          <w:color w:val="000000"/>
        </w:rPr>
        <w:t xml:space="preserve">4、投标费用</w:t>
      </w:r>
      <w:bookmarkEnd w:id="64"/>
      <w:r/>
      <w:bookmarkEnd w:id="65"/>
      <w:r/>
      <w:bookmarkEnd w:id="66"/>
      <w:r/>
      <w:bookmarkEnd w:id="67"/>
      <w:r>
        <w:rPr>
          <w:rFonts w:hint="eastAsia"/>
          <w:b w:val="0"/>
          <w:bCs w:val="0"/>
          <w:color w:val="000000"/>
        </w:rPr>
      </w:r>
      <w:r/>
    </w:p>
    <w:p>
      <w:pPr>
        <w:pStyle w:val="903"/>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903"/>
        <w:ind w:firstLine="480"/>
        <w:spacing w:line="400" w:lineRule="exact"/>
        <w:rPr>
          <w:rFonts w:hint="eastAsia" w:ascii="宋体" w:hAnsi="宋体"/>
          <w:color w:val="000000"/>
          <w:sz w:val="24"/>
        </w:rPr>
      </w:pPr>
      <w:r>
        <w:rPr>
          <w:rFonts w:hint="eastAsia" w:ascii="宋体" w:hAnsi="宋体"/>
          <w:color w:val="000000"/>
          <w:sz w:val="24"/>
        </w:rPr>
        <w:t xml:space="preserve">4.2本次招标采购中心和采购人不收取标书工本费与中标服务费。</w:t>
      </w:r>
      <w:r/>
    </w:p>
    <w:p>
      <w:pPr>
        <w:pStyle w:val="907"/>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06"/>
        <w:ind w:firstLine="321"/>
        <w:spacing w:before="145" w:after="145" w:line="400" w:lineRule="exact"/>
        <w:rPr>
          <w:rFonts w:hint="eastAsia"/>
          <w:color w:val="000000"/>
        </w:rPr>
      </w:pPr>
      <w:r/>
      <w:bookmarkStart w:id="68" w:name="_Toc16938525"/>
      <w:r/>
      <w:bookmarkStart w:id="69" w:name="_Toc513029209"/>
      <w:r/>
      <w:bookmarkStart w:id="70" w:name="_Toc120614215"/>
      <w:r/>
      <w:bookmarkStart w:id="71" w:name="_Toc20823281"/>
      <w:r>
        <w:rPr>
          <w:rFonts w:hint="eastAsia"/>
          <w:color w:val="000000"/>
        </w:rPr>
        <w:t xml:space="preserve">二、招标文件</w:t>
      </w:r>
      <w:bookmarkEnd w:id="68"/>
      <w:r/>
      <w:bookmarkEnd w:id="69"/>
      <w:r/>
      <w:bookmarkEnd w:id="70"/>
      <w:r/>
      <w:bookmarkEnd w:id="71"/>
      <w:r>
        <w:rPr>
          <w:rFonts w:hint="eastAsia"/>
          <w:color w:val="000000"/>
        </w:rPr>
      </w:r>
      <w:r/>
    </w:p>
    <w:p>
      <w:pPr>
        <w:pStyle w:val="907"/>
        <w:ind w:firstLine="420"/>
        <w:spacing w:before="0" w:after="0" w:line="400" w:lineRule="exact"/>
        <w:rPr>
          <w:rFonts w:hint="eastAsia"/>
          <w:b w:val="0"/>
          <w:bCs w:val="0"/>
          <w:color w:val="000000"/>
        </w:rPr>
      </w:pPr>
      <w:r/>
      <w:bookmarkStart w:id="72" w:name="_Toc513029210"/>
      <w:r/>
      <w:bookmarkStart w:id="73" w:name="_Toc16938526"/>
      <w:r/>
      <w:bookmarkStart w:id="74" w:name="_Toc20823282"/>
      <w:r>
        <w:rPr>
          <w:rFonts w:hint="eastAsia"/>
          <w:b w:val="0"/>
          <w:bCs w:val="0"/>
          <w:color w:val="000000"/>
        </w:rPr>
        <w:t xml:space="preserve">6、招标文件构成</w:t>
      </w:r>
      <w:bookmarkEnd w:id="72"/>
      <w:r/>
      <w:bookmarkEnd w:id="73"/>
      <w:r/>
      <w:bookmarkEnd w:id="74"/>
      <w:r>
        <w:rPr>
          <w:rFonts w:hint="eastAsia"/>
          <w:b w:val="0"/>
          <w:bCs w:val="0"/>
          <w:color w:val="000000"/>
        </w:rPr>
      </w:r>
      <w:r/>
    </w:p>
    <w:p>
      <w:pPr>
        <w:pStyle w:val="903"/>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903"/>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请仔细检查招标文件是否齐全，如有缺漏请立即与采购中心联系解决。</w:t>
      </w:r>
      <w:r/>
    </w:p>
    <w:p>
      <w:pPr>
        <w:pStyle w:val="903"/>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7"/>
        <w:ind w:firstLine="560"/>
        <w:spacing w:before="0" w:after="0" w:line="400" w:lineRule="exact"/>
        <w:rPr>
          <w:rFonts w:hint="eastAsia"/>
          <w:b w:val="0"/>
          <w:bCs w:val="0"/>
          <w:color w:val="000000"/>
        </w:rPr>
      </w:pPr>
      <w:r/>
      <w:bookmarkStart w:id="75" w:name="_Toc16938528"/>
      <w:r/>
      <w:bookmarkStart w:id="76" w:name="_Toc20823284"/>
      <w:r/>
      <w:bookmarkStart w:id="77" w:name="_Toc513029212"/>
      <w:r/>
      <w:bookmarkStart w:id="78" w:name="_Toc462564071"/>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Pr>
          <w:rFonts w:hint="eastAsia"/>
          <w:b w:val="0"/>
          <w:bCs w:val="0"/>
          <w:color w:val="000000"/>
        </w:rPr>
      </w:r>
      <w:r/>
    </w:p>
    <w:p>
      <w:pPr>
        <w:pStyle w:val="903"/>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p>
    <w:p>
      <w:pPr>
        <w:pStyle w:val="903"/>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hint="eastAsia" w:ascii="宋体" w:hAnsi="Arial"/>
          <w:color w:val="000000"/>
          <w:sz w:val="28"/>
        </w:rPr>
      </w:r>
      <w:r/>
    </w:p>
    <w:p>
      <w:pPr>
        <w:pStyle w:val="903"/>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06"/>
        <w:ind w:firstLine="482"/>
        <w:spacing w:before="145" w:after="145" w:line="400" w:lineRule="exact"/>
        <w:rPr>
          <w:rFonts w:hint="eastAsia"/>
          <w:color w:val="000000"/>
        </w:rPr>
      </w:pPr>
      <w:r/>
      <w:bookmarkStart w:id="79" w:name="_Toc120614216"/>
      <w:r/>
      <w:bookmarkStart w:id="80" w:name="_Toc462564072"/>
      <w:r/>
      <w:bookmarkStart w:id="81" w:name="_Toc20823285"/>
      <w:r/>
      <w:bookmarkStart w:id="82" w:name="_Toc16938529"/>
      <w:r/>
      <w:bookmarkStart w:id="83" w:name="_Toc513029213"/>
      <w:r>
        <w:rPr>
          <w:rFonts w:hint="eastAsia"/>
          <w:color w:val="000000"/>
        </w:rPr>
        <w:t xml:space="preserve">三、投标文件的编制</w:t>
      </w:r>
      <w:bookmarkEnd w:id="79"/>
      <w:r/>
      <w:bookmarkEnd w:id="80"/>
      <w:r/>
      <w:bookmarkEnd w:id="81"/>
      <w:r/>
      <w:bookmarkEnd w:id="82"/>
      <w:r/>
      <w:bookmarkEnd w:id="83"/>
      <w:r>
        <w:rPr>
          <w:rFonts w:hint="eastAsia"/>
          <w:color w:val="000000"/>
        </w:rPr>
      </w:r>
      <w:r/>
    </w:p>
    <w:p>
      <w:pPr>
        <w:pStyle w:val="907"/>
        <w:ind w:firstLine="560"/>
        <w:spacing w:before="0" w:after="0" w:line="400" w:lineRule="exact"/>
        <w:rPr>
          <w:rFonts w:hint="eastAsia"/>
          <w:bCs w:val="0"/>
          <w:color w:val="000000"/>
        </w:rPr>
      </w:pPr>
      <w:r/>
      <w:bookmarkStart w:id="84" w:name="_Toc20823286"/>
      <w:r/>
      <w:bookmarkStart w:id="85" w:name="_Toc462564073"/>
      <w:r/>
      <w:bookmarkStart w:id="86" w:name="_Toc16938530"/>
      <w:r/>
      <w:bookmarkStart w:id="87" w:name="_Toc513029214"/>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Pr>
          <w:rFonts w:hint="eastAsia"/>
          <w:bCs w:val="0"/>
          <w:color w:val="000000"/>
        </w:rPr>
      </w:r>
      <w:r/>
    </w:p>
    <w:p>
      <w:pPr>
        <w:pStyle w:val="903"/>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pStyle w:val="903"/>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07"/>
        <w:ind w:firstLine="420"/>
        <w:spacing w:before="0" w:after="0" w:line="400" w:lineRule="exact"/>
        <w:rPr>
          <w:rFonts w:hint="eastAsia"/>
          <w:b w:val="0"/>
          <w:bCs w:val="0"/>
          <w:color w:val="000000"/>
        </w:rPr>
      </w:pPr>
      <w:r/>
      <w:bookmarkStart w:id="88" w:name="_Toc513029215"/>
      <w:r/>
      <w:bookmarkStart w:id="89" w:name="_Toc462564074"/>
      <w:r/>
      <w:bookmarkStart w:id="90" w:name="_Toc16938531"/>
      <w:r/>
      <w:bookmarkStart w:id="91" w:name="_Toc20823287"/>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Pr>
          <w:rFonts w:hint="eastAsia"/>
          <w:b w:val="0"/>
          <w:bCs w:val="0"/>
          <w:color w:val="000000"/>
        </w:rPr>
      </w:r>
      <w:r/>
    </w:p>
    <w:p>
      <w:pPr>
        <w:pStyle w:val="903"/>
        <w:ind w:firstLine="480"/>
        <w:spacing w:line="400" w:lineRule="exact"/>
        <w:rPr>
          <w:rFonts w:hint="eastAsia"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p>
    <w:p>
      <w:pPr>
        <w:pStyle w:val="903"/>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如标书制作工具中格式和内容与“江苏政府采购网”发布的招标文件不一致，请以“江苏政府采购网”发布的招标文件为准。</w:t>
      </w:r>
      <w:r/>
    </w:p>
    <w:p>
      <w:pPr>
        <w:pStyle w:val="907"/>
        <w:ind w:firstLine="420"/>
        <w:spacing w:before="0" w:after="0" w:line="400" w:lineRule="exact"/>
        <w:rPr>
          <w:rFonts w:hint="eastAsia"/>
          <w:b w:val="0"/>
          <w:bCs w:val="0"/>
          <w:color w:val="00000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rPr>
          <w:rFonts w:hint="eastAsia"/>
          <w:b w:val="0"/>
          <w:bCs w:val="0"/>
          <w:color w:val="000000"/>
        </w:rPr>
      </w:r>
      <w:r/>
    </w:p>
    <w:p>
      <w:pPr>
        <w:pStyle w:val="903"/>
        <w:spacing w:line="400" w:lineRule="exact"/>
        <w:rPr>
          <w:rFonts w:hint="eastAsia" w:ascii="宋体" w:hAnsi="宋体"/>
          <w:color w:val="000000"/>
          <w:sz w:val="24"/>
          <w:szCs w:val="24"/>
        </w:rPr>
      </w:pPr>
      <w:r/>
      <w:bookmarkEnd w:id="98"/>
      <w:r/>
      <w:bookmarkEnd w:id="99"/>
      <w:r/>
      <w:bookmarkEnd w:id="100"/>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投标人应按照法律、法规、规章和规范性文件以及招标文件要求提交证明文件，证明其及投标标的符合招标文件规定。</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07"/>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Pr>
          <w:rFonts w:hint="eastAsia"/>
          <w:b w:val="0"/>
          <w:bCs w:val="0"/>
          <w:color w:val="000000"/>
        </w:rPr>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rPr>
          <w:rFonts w:hint="eastAsia" w:ascii="宋体" w:hAnsi="宋体"/>
          <w:bCs/>
          <w:color w:val="000000"/>
          <w:sz w:val="24"/>
        </w:rPr>
      </w:r>
      <w:r/>
    </w:p>
    <w:p>
      <w:pPr>
        <w:pStyle w:val="903"/>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907"/>
        <w:ind w:firstLine="420"/>
        <w:spacing w:before="0" w:after="0" w:line="400" w:lineRule="exact"/>
        <w:rPr>
          <w:rFonts w:hint="eastAsia"/>
          <w:b w:val="0"/>
          <w:bCs w:val="0"/>
          <w:color w:val="00000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pStyle w:val="903"/>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pStyle w:val="903"/>
        <w:ind w:firstLine="480"/>
        <w:spacing w:line="400" w:lineRule="exact"/>
        <w:rPr>
          <w:rFonts w:hint="eastAsia"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07"/>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pStyle w:val="903"/>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pStyle w:val="903"/>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907"/>
        <w:ind w:firstLine="420"/>
        <w:spacing w:before="0" w:after="0" w:line="400" w:lineRule="exact"/>
        <w:rPr>
          <w:rFonts w:hint="eastAsia"/>
          <w:b w:val="0"/>
          <w:bCs w:val="0"/>
          <w:color w:val="00000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Pr>
          <w:rFonts w:hint="eastAsia"/>
          <w:b w:val="0"/>
          <w:bCs w:val="0"/>
          <w:color w:val="000000"/>
        </w:rPr>
      </w:r>
      <w:r/>
    </w:p>
    <w:p>
      <w:pPr>
        <w:pStyle w:val="903"/>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07"/>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pStyle w:val="903"/>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906"/>
        <w:ind w:firstLine="482"/>
        <w:spacing w:before="145" w:after="145" w:line="400" w:lineRule="exact"/>
        <w:rPr>
          <w:rFonts w:hint="eastAsia"/>
          <w:color w:val="000000"/>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color w:val="000000"/>
        </w:rPr>
        <w:t xml:space="preserve">四、投标文件的递交</w:t>
      </w:r>
      <w:bookmarkEnd w:id="125"/>
      <w:r/>
      <w:bookmarkEnd w:id="126"/>
      <w:r/>
      <w:bookmarkEnd w:id="127"/>
      <w:r/>
      <w:bookmarkEnd w:id="128"/>
      <w:r>
        <w:rPr>
          <w:rFonts w:hint="eastAsia"/>
          <w:color w:val="000000"/>
        </w:rPr>
      </w:r>
      <w:r/>
    </w:p>
    <w:p>
      <w:pPr>
        <w:pStyle w:val="907"/>
        <w:ind w:firstLine="560"/>
        <w:spacing w:before="0" w:after="0" w:line="400" w:lineRule="exact"/>
        <w:rPr>
          <w:rFonts w:hint="eastAsia" w:ascii="黑体"/>
          <w:b w:val="0"/>
          <w:bCs w:val="0"/>
          <w:color w:val="000000"/>
        </w:rPr>
      </w:pPr>
      <w:r/>
      <w:bookmarkStart w:id="129" w:name="_Toc513029225"/>
      <w:r/>
      <w:bookmarkStart w:id="130" w:name="_Toc20823297"/>
      <w:r/>
      <w:bookmarkStart w:id="131" w:name="_Toc462564084"/>
      <w:r/>
      <w:bookmarkStart w:id="132"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pStyle w:val="903"/>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电子投标文件的递交</w:t>
      </w:r>
      <w:r/>
    </w:p>
    <w:p>
      <w:pPr>
        <w:pStyle w:val="1015"/>
        <w:ind w:left="525"/>
        <w:spacing w:line="4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16938542"/>
      <w:r/>
      <w:bookmarkStart w:id="134" w:name="_Toc20823298"/>
      <w:r/>
      <w:bookmarkStart w:id="135" w:name="_Toc513029226"/>
      <w:r>
        <w:rPr>
          <w:rFonts w:hint="eastAsia" w:ascii="宋体" w:hAnsi="宋体"/>
          <w:bCs/>
          <w:color w:val="000000"/>
          <w:sz w:val="24"/>
        </w:rPr>
      </w:r>
      <w:r/>
    </w:p>
    <w:p>
      <w:pPr>
        <w:pStyle w:val="907"/>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pStyle w:val="903"/>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pStyle w:val="903"/>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07"/>
        <w:ind w:firstLine="420"/>
        <w:spacing w:before="0" w:after="0" w:line="400" w:lineRule="exact"/>
        <w:rPr>
          <w:rFonts w:hint="eastAsia"/>
          <w:b w:val="0"/>
          <w:bCs w:val="0"/>
          <w:color w:val="000000"/>
        </w:rPr>
      </w:pPr>
      <w:r/>
      <w:bookmarkStart w:id="136" w:name="_Toc513029227"/>
      <w:r/>
      <w:bookmarkStart w:id="137" w:name="_Toc16938543"/>
      <w:r/>
      <w:bookmarkStart w:id="138"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pStyle w:val="903"/>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采购中心拒绝接收在其规定的投标截止时间后上传的任何投标文件。</w:t>
      </w:r>
      <w:r/>
    </w:p>
    <w:p>
      <w:pPr>
        <w:pStyle w:val="907"/>
        <w:ind w:firstLine="420"/>
        <w:spacing w:before="0" w:after="0" w:line="400" w:lineRule="exact"/>
        <w:rPr>
          <w:rFonts w:hint="eastAsia"/>
          <w:b w:val="0"/>
          <w:bCs w:val="0"/>
          <w:color w:val="000000"/>
        </w:rPr>
      </w:pPr>
      <w:r/>
      <w:bookmarkStart w:id="139" w:name="_Toc20823300"/>
      <w:r/>
      <w:bookmarkStart w:id="140" w:name="_Toc16938544"/>
      <w:r/>
      <w:bookmarkStart w:id="141" w:name="_Toc513029228"/>
      <w:r>
        <w:rPr>
          <w:b w:val="0"/>
          <w:bCs w:val="0"/>
          <w:color w:val="000000"/>
        </w:rPr>
        <w:t xml:space="preserve">19</w:t>
      </w:r>
      <w:r>
        <w:rPr>
          <w:rFonts w:hint="eastAsia"/>
          <w:b w:val="0"/>
          <w:bCs w:val="0"/>
          <w:color w:val="000000"/>
        </w:rPr>
        <w:t xml:space="preserve">、投标文件的撤回和修改</w:t>
      </w:r>
      <w:bookmarkEnd w:id="139"/>
      <w:r/>
      <w:bookmarkEnd w:id="140"/>
      <w:r/>
      <w:bookmarkEnd w:id="141"/>
      <w:r>
        <w:rPr>
          <w:rFonts w:hint="eastAsia"/>
          <w:b w:val="0"/>
          <w:bCs w:val="0"/>
          <w:color w:val="000000"/>
        </w:rPr>
      </w:r>
      <w:r/>
    </w:p>
    <w:p>
      <w:pPr>
        <w:pStyle w:val="903"/>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pStyle w:val="903"/>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pStyle w:val="903"/>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pStyle w:val="903"/>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pStyle w:val="903"/>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pStyle w:val="903"/>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06"/>
        <w:ind w:firstLine="482"/>
        <w:spacing w:before="145" w:after="145" w:line="400" w:lineRule="exact"/>
        <w:rPr>
          <w:rFonts w:hint="eastAsia"/>
          <w:color w:val="000000"/>
        </w:rPr>
      </w:pPr>
      <w:r/>
      <w:bookmarkStart w:id="142" w:name="_Toc120614218"/>
      <w:r/>
      <w:bookmarkStart w:id="143" w:name="_Toc20823301"/>
      <w:r/>
      <w:bookmarkStart w:id="144" w:name="_Toc513029229"/>
      <w:r/>
      <w:bookmarkStart w:id="145" w:name="_Toc16938545"/>
      <w:r>
        <w:rPr>
          <w:rFonts w:hint="eastAsia"/>
          <w:color w:val="000000"/>
        </w:rPr>
        <w:t xml:space="preserve">五、开标与评标</w:t>
      </w:r>
      <w:bookmarkEnd w:id="142"/>
      <w:r/>
      <w:bookmarkEnd w:id="143"/>
      <w:r/>
      <w:bookmarkEnd w:id="144"/>
      <w:r/>
      <w:bookmarkEnd w:id="145"/>
      <w:r>
        <w:rPr>
          <w:rFonts w:hint="eastAsia"/>
          <w:color w:val="000000"/>
        </w:rPr>
      </w:r>
      <w:r/>
    </w:p>
    <w:p>
      <w:pPr>
        <w:pStyle w:val="907"/>
        <w:ind w:firstLine="420"/>
        <w:spacing w:before="0" w:after="0" w:line="400" w:lineRule="exact"/>
        <w:rPr>
          <w:rFonts w:hint="eastAsia"/>
          <w:b w:val="0"/>
          <w:bCs w:val="0"/>
          <w:color w:val="000000"/>
        </w:rPr>
      </w:pPr>
      <w:r/>
      <w:bookmarkStart w:id="146" w:name="_Toc20823302"/>
      <w:r/>
      <w:bookmarkStart w:id="147" w:name="_Toc16938546"/>
      <w:r/>
      <w:bookmarkStart w:id="148"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Pr>
          <w:rFonts w:hint="eastAsia"/>
          <w:b w:val="0"/>
          <w:bCs w:val="0"/>
          <w:color w:val="000000"/>
        </w:rPr>
      </w:r>
      <w:r/>
    </w:p>
    <w:p>
      <w:pPr>
        <w:pStyle w:val="903"/>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907"/>
        <w:ind w:firstLine="420"/>
        <w:spacing w:before="0" w:after="0" w:line="400" w:lineRule="exact"/>
        <w:rPr>
          <w:rFonts w:hint="eastAsia"/>
          <w:b w:val="0"/>
          <w:bCs w:val="0"/>
          <w:color w:val="000000"/>
        </w:rPr>
      </w:pPr>
      <w:r/>
      <w:bookmarkStart w:id="149" w:name="_Toc20823303"/>
      <w:r/>
      <w:bookmarkStart w:id="150" w:name="_Toc16938547"/>
      <w:r/>
      <w:bookmarkStart w:id="151"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pStyle w:val="903"/>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评标委员会由采购人代表和有关技术、经济等方面的专家组成，且人员构成符合政府采购有关规定。</w:t>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.3评标委员会独立工作，负责评审所有投标文件并确定中标侯选人。</w:t>
      </w:r>
      <w:r/>
    </w:p>
    <w:p>
      <w:pPr>
        <w:pStyle w:val="907"/>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r/>
    </w:p>
    <w:p>
      <w:pPr>
        <w:pStyle w:val="903"/>
        <w:ind w:firstLine="480"/>
        <w:spacing w:line="4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p>
    <w:p>
      <w:pPr>
        <w:pStyle w:val="903"/>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907"/>
        <w:ind w:firstLine="420"/>
        <w:spacing w:before="0" w:after="0" w:line="400" w:lineRule="exact"/>
        <w:rPr>
          <w:rFonts w:hint="eastAsia"/>
          <w:b w:val="0"/>
          <w:bCs w:val="0"/>
          <w:color w:val="000000"/>
        </w:rPr>
      </w:pPr>
      <w:r/>
      <w:bookmarkStart w:id="152" w:name="_Toc16938548"/>
      <w:r/>
      <w:bookmarkStart w:id="153" w:name="_Toc513029232"/>
      <w:r/>
      <w:bookmarkStart w:id="154"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Pr>
          <w:rFonts w:hint="eastAsia"/>
          <w:b w:val="0"/>
          <w:bCs w:val="0"/>
          <w:color w:val="000000"/>
        </w:rPr>
      </w:r>
      <w:r/>
    </w:p>
    <w:p>
      <w:pPr>
        <w:pStyle w:val="903"/>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03"/>
        <w:spacing w:line="400" w:lineRule="exact"/>
        <w:rPr>
          <w:rFonts w:hint="eastAsia" w:ascii="宋体" w:hAnsi="宋体"/>
          <w:color w:val="000000"/>
          <w:sz w:val="24"/>
          <w:szCs w:val="24"/>
        </w:rPr>
      </w:pPr>
      <w:r>
        <w:rPr>
          <w:rFonts w:hint="eastAsia" w:ascii="宋体" w:hAnsi="宋体"/>
          <w:color w:val="000000"/>
          <w:sz w:val="24"/>
          <w:szCs w:val="24"/>
        </w:rPr>
        <w:t xml:space="preserve">    23.3 接到评标委员会澄清、说明和补正要求的投标人如未按规定做出澄清、说明和补正，其风险由投标人自行承担。</w:t>
      </w:r>
      <w:r/>
    </w:p>
    <w:p>
      <w:pPr>
        <w:pStyle w:val="907"/>
        <w:ind w:firstLine="420"/>
        <w:spacing w:before="0" w:after="0" w:line="400" w:lineRule="exact"/>
        <w:rPr>
          <w:rFonts w:hint="eastAsia"/>
          <w:b w:val="0"/>
          <w:bCs w:val="0"/>
          <w:color w:val="000000"/>
        </w:rPr>
      </w:pPr>
      <w:r/>
      <w:bookmarkStart w:id="155" w:name="_Toc16938549"/>
      <w:r/>
      <w:bookmarkStart w:id="156" w:name="_Toc513029233"/>
      <w:r/>
      <w:bookmarkStart w:id="157"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Pr>
          <w:rFonts w:hint="eastAsia"/>
          <w:b w:val="0"/>
          <w:bCs w:val="0"/>
          <w:color w:val="000000"/>
        </w:rPr>
      </w:r>
      <w:r/>
    </w:p>
    <w:p>
      <w:pPr>
        <w:pStyle w:val="903"/>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资格审查：依据法律法规和招标文件的规定，由采购人对投标文件中的资格证明文件进行审查。资格审查的结论，采购人以书面形式向评标委员会进行反馈。</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符合性审查：依据招标文件的规定，由评标委员会从投标文件的有效性、完整性和对招标文件的响应程度进行审查，以确定是否对招标文件的实质性要求作出响应。</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903"/>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903"/>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903"/>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color w:val="000000"/>
          <w:sz w:val="24"/>
        </w:rPr>
      </w:r>
      <w:r/>
    </w:p>
    <w:p>
      <w:pPr>
        <w:pStyle w:val="903"/>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评标委员会将对确定为实质性响应的投标进行进一步审核，确定其是否有计算上或累加上的算术错误，修正错误的原则如下：</w:t>
      </w:r>
      <w:r/>
    </w:p>
    <w:p>
      <w:pPr>
        <w:pStyle w:val="903"/>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903"/>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903"/>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903"/>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评标委员会将按上述修正错误的方法调整投标文件中的投标报价，并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903"/>
        <w:ind w:firstLine="420"/>
        <w:spacing w:line="400" w:lineRule="exact"/>
        <w:rPr>
          <w:rFonts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ascii="宋体" w:hAnsi="宋体"/>
          <w:color w:val="000000"/>
          <w:sz w:val="24"/>
        </w:rPr>
      </w:r>
      <w:r/>
    </w:p>
    <w:p>
      <w:pPr>
        <w:pStyle w:val="90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90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90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90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90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90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90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0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07"/>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pStyle w:val="903"/>
        <w:ind w:left="479"/>
        <w:spacing w:line="400" w:lineRule="exact"/>
        <w:rPr>
          <w:rFonts w:hint="eastAsia" w:ascii="宋体" w:hAnsi="宋体"/>
          <w:bCs/>
          <w:color w:val="000000"/>
          <w:sz w:val="24"/>
        </w:rPr>
      </w:pPr>
      <w:r/>
      <w:bookmarkStart w:id="161" w:name="_Toc16938551"/>
      <w:r/>
      <w:bookmarkStart w:id="162" w:name="_Toc20823307"/>
      <w:r/>
      <w:bookmarkStart w:id="163" w:name="_Toc513029235"/>
      <w:r>
        <w:rPr>
          <w:rFonts w:hint="eastAsia" w:ascii="宋体" w:hAnsi="宋体"/>
          <w:bCs/>
          <w:color w:val="000000"/>
          <w:sz w:val="24"/>
        </w:rPr>
        <w:t xml:space="preserve">25.1无效投标条款</w:t>
      </w:r>
      <w:r/>
    </w:p>
    <w:p>
      <w:pPr>
        <w:pStyle w:val="903"/>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pStyle w:val="903"/>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pStyle w:val="903"/>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pStyle w:val="903"/>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rPr>
          <w:rFonts w:hint="eastAsia" w:ascii="宋体" w:hAnsi="宋体"/>
          <w:bCs/>
          <w:i/>
          <w:color w:val="000000"/>
          <w:sz w:val="24"/>
          <w:u w:val="single"/>
        </w:rPr>
      </w:r>
      <w:r/>
    </w:p>
    <w:p>
      <w:pPr>
        <w:pStyle w:val="903"/>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hint="eastAsia" w:ascii="宋体" w:hAnsi="宋体"/>
          <w:bCs/>
          <w:i/>
          <w:color w:val="000000"/>
          <w:sz w:val="24"/>
          <w:u w:val="single"/>
        </w:rPr>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pStyle w:val="903"/>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25.1.10评标委员会按照本招标文件规定对投标人进行异常低价投标审查后，认为投标人不能证明其报价合理性的。</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25.1.12 投标人所提供的服务不符合招标文件中所列国家强制性标准的。</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25.1.13其他法律、法规及本招标文件规定的属无效投标的情形。</w:t>
      </w:r>
      <w:r/>
    </w:p>
    <w:p>
      <w:pPr>
        <w:pStyle w:val="903"/>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pStyle w:val="903"/>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pStyle w:val="903"/>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pStyle w:val="903"/>
        <w:ind w:left="479"/>
        <w:spacing w:line="400" w:lineRule="exact"/>
        <w:rPr>
          <w:rFonts w:ascii="宋体" w:hAnsi="宋体"/>
          <w:bCs/>
          <w:color w:val="000000"/>
          <w:sz w:val="24"/>
        </w:rPr>
      </w:pPr>
      <w:r>
        <w:rPr>
          <w:rFonts w:hint="eastAsia" w:ascii="宋体" w:hAnsi="宋体"/>
          <w:bCs/>
          <w:color w:val="000000"/>
          <w:sz w:val="24"/>
        </w:rPr>
        <w:t xml:space="preserve">25.2.4评标委员会认定招标文件存在歧义、重大缺陷导致评审工作无法进行。</w:t>
      </w:r>
      <w:r>
        <w:rPr>
          <w:rFonts w:ascii="宋体" w:hAnsi="宋体"/>
          <w:bCs/>
          <w:color w:val="000000"/>
          <w:sz w:val="24"/>
        </w:rPr>
      </w:r>
      <w:r/>
    </w:p>
    <w:p>
      <w:pPr>
        <w:pStyle w:val="903"/>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bCs/>
          <w:color w:val="000000"/>
          <w:sz w:val="24"/>
        </w:rPr>
      </w:r>
      <w:r/>
    </w:p>
    <w:p>
      <w:pPr>
        <w:pStyle w:val="903"/>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06"/>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Pr>
          <w:rFonts w:hint="eastAsia"/>
          <w:color w:val="000000"/>
        </w:rPr>
      </w:r>
      <w:r/>
    </w:p>
    <w:p>
      <w:pPr>
        <w:pStyle w:val="907"/>
        <w:ind w:firstLine="600"/>
        <w:spacing w:before="0" w:after="0" w:line="400" w:lineRule="exact"/>
        <w:rPr>
          <w:rFonts w:hint="eastAsia" w:ascii="黑体" w:hAnsi="宋体"/>
          <w:b w:val="0"/>
          <w:color w:val="000000"/>
          <w:sz w:val="30"/>
          <w:szCs w:val="30"/>
        </w:rPr>
      </w:pPr>
      <w:r/>
      <w:bookmarkStart w:id="165" w:name="_Toc513029238"/>
      <w:r/>
      <w:bookmarkStart w:id="166" w:name="_Toc20823310"/>
      <w:r/>
      <w:bookmarkStart w:id="167" w:name="_Toc16938554"/>
      <w:r>
        <w:rPr>
          <w:rFonts w:hint="eastAsia" w:ascii="黑体" w:hAnsi="宋体"/>
          <w:b w:val="0"/>
          <w:color w:val="000000"/>
          <w:sz w:val="30"/>
          <w:szCs w:val="30"/>
        </w:rPr>
        <w:t xml:space="preserve">2</w:t>
      </w:r>
      <w:r>
        <w:rPr>
          <w:rFonts w:ascii="黑体" w:hAnsi="宋体"/>
          <w:b w:val="0"/>
          <w:color w:val="000000"/>
          <w:sz w:val="30"/>
          <w:szCs w:val="30"/>
        </w:rPr>
        <w:t xml:space="preserve">6</w:t>
      </w:r>
      <w:r>
        <w:rPr>
          <w:rFonts w:hint="eastAsia" w:ascii="黑体" w:hAnsi="宋体"/>
          <w:b w:val="0"/>
          <w:color w:val="000000"/>
          <w:sz w:val="30"/>
          <w:szCs w:val="30"/>
        </w:rPr>
        <w:t xml:space="preserve">、</w:t>
      </w:r>
      <w:bookmarkEnd w:id="165"/>
      <w:r>
        <w:rPr>
          <w:rFonts w:hint="eastAsia" w:ascii="黑体" w:hAnsi="宋体"/>
          <w:b w:val="0"/>
          <w:color w:val="000000"/>
          <w:sz w:val="30"/>
          <w:szCs w:val="30"/>
        </w:rPr>
        <w:t xml:space="preserve">确定</w:t>
      </w:r>
      <w:bookmarkEnd w:id="166"/>
      <w:r/>
      <w:bookmarkEnd w:id="167"/>
      <w:r>
        <w:rPr>
          <w:rFonts w:hint="eastAsia" w:ascii="黑体" w:hAnsi="宋体"/>
          <w:b w:val="0"/>
          <w:color w:val="000000"/>
          <w:sz w:val="30"/>
          <w:szCs w:val="30"/>
        </w:rPr>
        <w:t xml:space="preserve">中标单位</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pStyle w:val="903"/>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采购人应根据评标委员会推荐的中标候选人确定中标供应商。</w:t>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采购中心将在“江苏政府采购网”发布中标公告，公告期限为1个工作日。</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26.4.2向采购人、采购中心行贿或者提供其他不正当利益的。</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26.4.3属于本文件规定的无效条件，但在评标过程中又未被评标委员会发现的。</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pStyle w:val="903"/>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.5.4不同投标人的投标文件异常一致或者投标报价呈规律性差异。</w:t>
      </w:r>
      <w:r>
        <w:rPr>
          <w:rFonts w:ascii="宋体" w:hAnsi="宋体"/>
          <w:color w:val="000000"/>
          <w:sz w:val="24"/>
          <w:szCs w:val="24"/>
        </w:rPr>
      </w:r>
      <w:r/>
    </w:p>
    <w:p>
      <w:pPr>
        <w:pStyle w:val="907"/>
        <w:ind w:firstLine="600"/>
        <w:spacing w:before="0" w:after="0" w:line="400" w:lineRule="exact"/>
        <w:rPr>
          <w:rFonts w:hint="eastAsia" w:ascii="黑体" w:hAnsi="宋体"/>
          <w:b w:val="0"/>
          <w:color w:val="000000"/>
          <w:sz w:val="30"/>
          <w:szCs w:val="30"/>
        </w:rPr>
      </w:pPr>
      <w:r>
        <w:rPr>
          <w:rFonts w:hint="eastAsia" w:ascii="黑体" w:hAnsi="宋体"/>
          <w:b w:val="0"/>
          <w:color w:val="000000"/>
          <w:sz w:val="30"/>
          <w:szCs w:val="30"/>
        </w:rPr>
        <w:t xml:space="preserve">2</w:t>
      </w:r>
      <w:r>
        <w:rPr>
          <w:rFonts w:ascii="黑体" w:hAnsi="宋体"/>
          <w:b w:val="0"/>
          <w:color w:val="000000"/>
          <w:sz w:val="30"/>
          <w:szCs w:val="30"/>
        </w:rPr>
        <w:t xml:space="preserve">7</w:t>
      </w:r>
      <w:r>
        <w:rPr>
          <w:rFonts w:hint="eastAsia" w:ascii="黑体" w:hAnsi="宋体"/>
          <w:b w:val="0"/>
          <w:color w:val="000000"/>
          <w:sz w:val="30"/>
          <w:szCs w:val="30"/>
        </w:rPr>
        <w:t xml:space="preserve">、质疑处理</w:t>
      </w:r>
      <w:bookmarkEnd w:id="168"/>
      <w:r>
        <w:rPr>
          <w:rFonts w:hint="eastAsia" w:ascii="黑体" w:hAnsi="宋体"/>
          <w:b w:val="0"/>
          <w:color w:val="000000"/>
          <w:sz w:val="30"/>
          <w:szCs w:val="30"/>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27.1 提出质疑的供应商应当是参与所质疑项目采购活动的供应商。潜在供应商依法获取其可质疑的采购文件的，可以对采购文件提出质疑。</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27.2.1对可以质疑的采购文件提出质疑的，为收到采购文件之日或者采购文件公告期限届满之日；</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27.2.2对采购过程提出质疑的，为各采购程序环节结束之日；</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27.2.3对中标或者成交结果提出质疑的，为中标或者成交结果公告期限届满之日。</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采购人及采购中心只接收以纸质原件形式送达的质疑,建议供应商尽量通过邮寄方式提交质疑（采购人和采购中心不接受无快递运单号的快递）。</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 以下情形的质疑不予受理</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7"/>
        <w:ind w:firstLine="600"/>
        <w:spacing w:before="0" w:after="0" w:line="400" w:lineRule="exact"/>
        <w:rPr>
          <w:rFonts w:hint="eastAsia" w:ascii="黑体" w:hAnsi="宋体"/>
          <w:b w:val="0"/>
          <w:color w:val="000000"/>
          <w:sz w:val="30"/>
          <w:szCs w:val="30"/>
        </w:rPr>
      </w:pPr>
      <w:r>
        <w:rPr>
          <w:rFonts w:hint="eastAsia" w:ascii="黑体" w:hAnsi="宋体"/>
          <w:b w:val="0"/>
          <w:color w:val="000000"/>
          <w:sz w:val="30"/>
          <w:szCs w:val="30"/>
        </w:rPr>
        <w:t xml:space="preserve">2</w:t>
      </w:r>
      <w:r>
        <w:rPr>
          <w:rFonts w:ascii="黑体" w:hAnsi="宋体"/>
          <w:b w:val="0"/>
          <w:color w:val="000000"/>
          <w:sz w:val="30"/>
          <w:szCs w:val="30"/>
        </w:rPr>
        <w:t xml:space="preserve">8</w:t>
      </w:r>
      <w:r>
        <w:rPr>
          <w:rFonts w:hint="eastAsia" w:ascii="黑体" w:hAnsi="宋体"/>
          <w:b w:val="0"/>
          <w:color w:val="000000"/>
          <w:sz w:val="30"/>
          <w:szCs w:val="30"/>
        </w:rPr>
        <w:t xml:space="preserve">、中标通知书</w:t>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06"/>
        <w:spacing w:before="145" w:after="145" w:line="400" w:lineRule="exact"/>
        <w:rPr>
          <w:rFonts w:hint="eastAsia"/>
          <w:color w:val="000000"/>
        </w:rPr>
      </w:pPr>
      <w:r/>
      <w:bookmarkStart w:id="169" w:name="_Toc120614220"/>
      <w:r/>
      <w:bookmarkStart w:id="170" w:name="_Toc20823308"/>
      <w:r/>
      <w:bookmarkStart w:id="171" w:name="_Toc16938552"/>
      <w:r/>
      <w:bookmarkStart w:id="172" w:name="_Toc513029236"/>
      <w:r>
        <w:rPr>
          <w:rFonts w:hint="eastAsia"/>
          <w:color w:val="000000"/>
        </w:rPr>
        <w:t xml:space="preserve">七、授予合同</w:t>
      </w:r>
      <w:bookmarkEnd w:id="169"/>
      <w:r>
        <w:rPr>
          <w:rFonts w:hint="eastAsia"/>
          <w:color w:val="000000"/>
        </w:rPr>
      </w:r>
      <w:r/>
    </w:p>
    <w:p>
      <w:pPr>
        <w:pStyle w:val="907"/>
        <w:ind w:firstLine="600"/>
        <w:spacing w:before="0" w:after="0" w:line="400" w:lineRule="exact"/>
        <w:rPr>
          <w:rFonts w:hint="eastAsia" w:ascii="黑体" w:hAnsi="宋体"/>
          <w:b w:val="0"/>
          <w:color w:val="00000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color w:val="000000"/>
          <w:sz w:val="30"/>
          <w:szCs w:val="30"/>
        </w:rPr>
        <w:t xml:space="preserve">29</w:t>
      </w:r>
      <w:r>
        <w:rPr>
          <w:rFonts w:hint="eastAsia" w:ascii="黑体" w:hAnsi="宋体"/>
          <w:b w:val="0"/>
          <w:color w:val="000000"/>
          <w:sz w:val="30"/>
          <w:szCs w:val="30"/>
        </w:rPr>
        <w:t xml:space="preserve">、签订合同</w:t>
      </w:r>
      <w:r/>
    </w:p>
    <w:p>
      <w:pPr>
        <w:pStyle w:val="903"/>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07"/>
        <w:ind w:firstLine="600"/>
        <w:spacing w:before="0" w:after="0" w:line="400" w:lineRule="exact"/>
        <w:rPr>
          <w:rFonts w:hint="eastAsia" w:ascii="黑体" w:hAnsi="宋体"/>
          <w:b w:val="0"/>
          <w:color w:val="000000"/>
          <w:sz w:val="30"/>
          <w:szCs w:val="30"/>
        </w:rPr>
      </w:pPr>
      <w:r>
        <w:rPr>
          <w:rFonts w:hint="eastAsia" w:ascii="黑体" w:hAnsi="宋体"/>
          <w:b w:val="0"/>
          <w:color w:val="000000"/>
          <w:sz w:val="30"/>
          <w:szCs w:val="30"/>
        </w:rPr>
        <w:t xml:space="preserve">3</w:t>
      </w:r>
      <w:r>
        <w:rPr>
          <w:rFonts w:ascii="黑体" w:hAnsi="宋体"/>
          <w:b w:val="0"/>
          <w:color w:val="000000"/>
          <w:sz w:val="30"/>
          <w:szCs w:val="30"/>
        </w:rPr>
        <w:t xml:space="preserve">0</w:t>
      </w:r>
      <w:r>
        <w:rPr>
          <w:rFonts w:hint="eastAsia" w:ascii="黑体" w:hAnsi="宋体"/>
          <w:b w:val="0"/>
          <w:color w:val="000000"/>
          <w:sz w:val="30"/>
          <w:szCs w:val="30"/>
        </w:rPr>
        <w:t xml:space="preserve">、服务（包含与服务相关的货物）的追加</w:t>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07"/>
        <w:ind w:firstLine="600"/>
        <w:spacing w:before="0" w:after="0" w:line="400" w:lineRule="exact"/>
        <w:rPr>
          <w:rFonts w:ascii="黑体" w:hAnsi="宋体"/>
          <w:b w:val="0"/>
          <w:color w:val="00000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color w:val="000000"/>
          <w:sz w:val="30"/>
          <w:szCs w:val="30"/>
        </w:rPr>
        <w:t xml:space="preserve">3</w:t>
      </w:r>
      <w:r>
        <w:rPr>
          <w:rFonts w:ascii="黑体" w:hAnsi="宋体"/>
          <w:b w:val="0"/>
          <w:color w:val="000000"/>
          <w:sz w:val="30"/>
          <w:szCs w:val="30"/>
        </w:rPr>
        <w:t xml:space="preserve">1</w:t>
      </w:r>
      <w:r>
        <w:rPr>
          <w:rFonts w:hint="eastAsia" w:ascii="黑体" w:hAnsi="宋体"/>
          <w:b w:val="0"/>
          <w:color w:val="000000"/>
          <w:sz w:val="30"/>
          <w:szCs w:val="30"/>
        </w:rPr>
        <w:t xml:space="preserve">、政府采购履约资金扶持政策</w:t>
      </w:r>
      <w:r>
        <w:rPr>
          <w:rFonts w:ascii="黑体" w:hAnsi="宋体"/>
          <w:b w:val="0"/>
          <w:color w:val="000000"/>
          <w:sz w:val="30"/>
          <w:szCs w:val="30"/>
        </w:rPr>
      </w:r>
      <w:r/>
    </w:p>
    <w:p>
      <w:pPr>
        <w:pStyle w:val="918"/>
        <w:spacing w:line="400" w:lineRule="exact"/>
        <w:rPr>
          <w:rFonts w:hint="eastAsia" w:ascii="宋体" w:hAnsi="宋体"/>
          <w:color w:val="000000"/>
          <w:sz w:val="24"/>
          <w:szCs w:val="24"/>
          <w:highlight w:val="none"/>
        </w:rPr>
      </w:pPr>
      <w:r>
        <w:rPr>
          <w:rFonts w:hint="eastAsia" w:ascii="宋体" w:hAnsi="宋体"/>
          <w:bCs/>
          <w:color w:val="000000"/>
          <w:sz w:val="24"/>
        </w:rPr>
        <w:t xml:space="preserve">中标供应商可凭政府采购合同办理融资贷款，详情请见江苏政府采购网“政采贷”专栏。</w:t>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18"/>
        <w:spacing w:line="400" w:lineRule="exact"/>
        <w:rPr>
          <w:rFonts w:hint="eastAsia" w:ascii="宋体" w:hAnsi="宋体"/>
          <w:color w:val="000000"/>
          <w:sz w:val="24"/>
          <w:szCs w:val="24"/>
        </w:rPr>
      </w:pPr>
      <w:r>
        <w:rPr>
          <w:rFonts w:hint="eastAsia" w:ascii="宋体" w:hAnsi="宋体"/>
          <w:bCs/>
          <w:color w:val="000000"/>
          <w:sz w:val="24"/>
          <w:highlight w:val="none"/>
        </w:rPr>
      </w:r>
      <w:r>
        <w:rPr>
          <w:rFonts w:hint="eastAsia" w:ascii="宋体" w:hAnsi="宋体"/>
          <w:bCs/>
          <w:color w:val="000000"/>
          <w:sz w:val="24"/>
          <w:highlight w:val="none"/>
        </w:rPr>
      </w:r>
      <w:r/>
    </w:p>
    <w:p>
      <w:pPr>
        <w:pStyle w:val="918"/>
        <w:spacing w:line="400" w:lineRule="exact"/>
        <w:rPr>
          <w:rFonts w:hint="eastAsia" w:ascii="宋体" w:hAnsi="宋体"/>
          <w:bCs/>
          <w:color w:val="000000"/>
          <w:sz w:val="24"/>
          <w:lang w:val="en-US" w:eastAsia="zh-CN"/>
        </w:rPr>
      </w:pPr>
      <w:r>
        <w:rPr>
          <w:rFonts w:hint="eastAsia" w:ascii="宋体" w:hAnsi="宋体"/>
          <w:bCs/>
          <w:color w:val="000000"/>
          <w:sz w:val="24"/>
          <w:lang w:val="en-US" w:eastAsia="zh-CN"/>
        </w:rPr>
      </w:r>
      <w:r/>
    </w:p>
    <w:p>
      <w:pPr>
        <w:pStyle w:val="904"/>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pStyle w:val="903"/>
        <w:jc w:val="center"/>
        <w:spacing w:before="145" w:after="145"/>
        <w:rPr>
          <w:rFonts w:hint="eastAsia" w:ascii="宋体" w:hAnsi="宋体"/>
          <w:b/>
          <w:color w:val="000000"/>
          <w:sz w:val="30"/>
        </w:rPr>
        <w:outlineLvl w:val="0"/>
      </w:pPr>
      <w:r/>
      <w:bookmarkStart w:id="181" w:name="_Toc20823315"/>
      <w:r/>
      <w:bookmarkStart w:id="182" w:name="_Toc16938559"/>
      <w:r/>
      <w:bookmarkStart w:id="183" w:name="_Toc513029243"/>
      <w:r>
        <w:rPr>
          <w:rFonts w:hint="eastAsia" w:ascii="宋体" w:hAnsi="宋体"/>
          <w:b/>
          <w:color w:val="000000"/>
          <w:sz w:val="30"/>
        </w:rPr>
      </w:r>
      <w:r/>
    </w:p>
    <w:p>
      <w:pPr>
        <w:pStyle w:val="903"/>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03"/>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903"/>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903"/>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942"/>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42"/>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rPr>
          <w:rFonts w:hint="eastAsia" w:hAnsi="宋体"/>
          <w:color w:val="000000"/>
          <w:sz w:val="24"/>
          <w:szCs w:val="24"/>
        </w:rPr>
      </w:r>
      <w:r/>
    </w:p>
    <w:p>
      <w:pPr>
        <w:pStyle w:val="942"/>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江苏省政府采购中心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942"/>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42"/>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42"/>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42"/>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942"/>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942"/>
        <w:spacing w:before="120" w:after="120"/>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94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rPr>
          <w:rFonts w:hAnsi="宋体"/>
          <w:color w:val="000000"/>
          <w:sz w:val="24"/>
          <w:szCs w:val="24"/>
        </w:rPr>
      </w:r>
      <w:r/>
    </w:p>
    <w:p>
      <w:pPr>
        <w:pStyle w:val="942"/>
        <w:spacing w:before="120" w:after="120"/>
        <w:rPr>
          <w:rFonts w:hAnsi="宋体"/>
          <w:b/>
          <w:color w:val="000000"/>
          <w:sz w:val="24"/>
          <w:szCs w:val="24"/>
        </w:rPr>
      </w:pPr>
      <w:r>
        <w:rPr>
          <w:rFonts w:hAnsi="宋体"/>
          <w:b/>
          <w:color w:val="000000"/>
          <w:sz w:val="24"/>
          <w:szCs w:val="24"/>
        </w:rPr>
        <w:t xml:space="preserve">二、合同金额</w:t>
      </w:r>
      <w:r/>
    </w:p>
    <w:p>
      <w:pPr>
        <w:pStyle w:val="942"/>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42"/>
        <w:spacing w:before="120" w:after="120"/>
        <w:rPr>
          <w:rFonts w:hAnsi="宋体"/>
          <w:b/>
          <w:color w:val="000000"/>
          <w:sz w:val="24"/>
          <w:szCs w:val="24"/>
        </w:rPr>
      </w:pPr>
      <w:r>
        <w:rPr>
          <w:rFonts w:hAnsi="宋体"/>
          <w:b/>
          <w:color w:val="000000"/>
          <w:sz w:val="24"/>
          <w:szCs w:val="24"/>
        </w:rPr>
        <w:t xml:space="preserve">三、技术资料</w:t>
      </w:r>
      <w:r/>
    </w:p>
    <w:p>
      <w:pPr>
        <w:pStyle w:val="942"/>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942"/>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2"/>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942"/>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2"/>
        <w:spacing w:before="120" w:after="120"/>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942"/>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942"/>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903"/>
        <w:spacing w:before="120" w:after="120"/>
        <w:rPr>
          <w:rFonts w:hint="eastAsia" w:ascii="宋体" w:hAnsi="宋体" w:cs="Courier New"/>
          <w:bCs/>
          <w:color w:val="000000"/>
          <w:sz w:val="24"/>
          <w:szCs w:val="24"/>
        </w:rPr>
      </w:pPr>
      <w:r>
        <w:rPr>
          <w:rFonts w:hint="eastAsia" w:ascii="宋体" w:hAnsi="宋体"/>
          <w:color w:val="000000"/>
          <w:sz w:val="24"/>
          <w:szCs w:val="24"/>
          <w:lang w:val="en-US"/>
        </w:rPr>
        <w:t xml:space="preserve">本项目不收取履约保证金。</w:t>
      </w:r>
      <w:r>
        <w:rPr>
          <w:rFonts w:hint="eastAsia" w:ascii="宋体" w:hAnsi="宋体" w:cs="Courier New"/>
          <w:bCs/>
          <w:color w:val="000000"/>
          <w:sz w:val="24"/>
          <w:szCs w:val="24"/>
        </w:rPr>
      </w:r>
      <w:r/>
    </w:p>
    <w:p>
      <w:pPr>
        <w:pStyle w:val="903"/>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03"/>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903"/>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pStyle w:val="903"/>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942"/>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903"/>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903"/>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 预付款支付时间：合同签订后***工作日内，预付款支付比例：合同金额的**%。</w:t>
      </w:r>
      <w:r/>
    </w:p>
    <w:p>
      <w:pPr>
        <w:pStyle w:val="903"/>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 尾款支付时间：采购人收到发票后</w:t>
      </w:r>
      <w:r>
        <w:rPr>
          <w:rFonts w:ascii="宋体" w:hAnsi="宋体"/>
          <w:color w:val="000000"/>
          <w:sz w:val="24"/>
          <w:szCs w:val="24"/>
        </w:rPr>
        <w:t xml:space="preserve">10</w:t>
      </w:r>
      <w:r>
        <w:rPr>
          <w:rFonts w:hint="eastAsia" w:ascii="宋体" w:hAnsi="宋体"/>
          <w:color w:val="000000"/>
          <w:sz w:val="24"/>
          <w:szCs w:val="24"/>
        </w:rPr>
        <w:t xml:space="preserve">个工作日内，尾款支付比例：合同金额的**%。</w:t>
      </w:r>
      <w:r/>
    </w:p>
    <w:p>
      <w:pPr>
        <w:pStyle w:val="903"/>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03"/>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4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42"/>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942"/>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2"/>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42"/>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42"/>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2"/>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4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4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4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4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4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42"/>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94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4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4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942"/>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4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4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4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42"/>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42"/>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942"/>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42"/>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42"/>
        <w:ind w:firstLine="240"/>
        <w:spacing w:before="120" w:after="120" w:line="0" w:lineRule="atLeas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942"/>
        <w:jc w:val="center"/>
        <w:spacing w:before="120" w:after="120" w:line="0" w:lineRule="atLeast"/>
        <w:rPr>
          <w:color w:val="000000"/>
        </w:rPr>
      </w:pPr>
      <w:r>
        <w:rPr>
          <w:rFonts w:hint="eastAsia"/>
          <w:color w:val="000000"/>
        </w:rPr>
        <w:t xml:space="preserve">                                         </w:t>
      </w:r>
      <w:r>
        <w:rPr>
          <w:color w:val="000000"/>
        </w:rPr>
      </w:r>
      <w:r/>
    </w:p>
    <w:p>
      <w:pPr>
        <w:pStyle w:val="942"/>
        <w:jc w:val="right"/>
        <w:spacing w:before="120" w:after="120" w:line="0" w:lineRule="atLeast"/>
        <w:rPr>
          <w:color w:val="000000"/>
          <w:sz w:val="24"/>
          <w:szCs w:val="24"/>
        </w:rPr>
      </w:pPr>
      <w:r>
        <w:rPr>
          <w:rFonts w:hint="eastAsia"/>
          <w:color w:val="000000"/>
          <w:sz w:val="24"/>
          <w:szCs w:val="24"/>
        </w:rPr>
        <w:t xml:space="preserve"> </w:t>
      </w:r>
      <w:r>
        <w:rPr>
          <w:color w:val="000000"/>
          <w:sz w:val="24"/>
          <w:szCs w:val="24"/>
        </w:rPr>
      </w:r>
      <w:r/>
    </w:p>
    <w:p>
      <w:pPr>
        <w:pStyle w:val="942"/>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ascii="黑体" w:eastAsia="黑体"/>
          <w:bCs/>
          <w:color w:val="000000"/>
          <w:sz w:val="44"/>
        </w:rPr>
        <w:br w:type="page" w:clear="all"/>
      </w:r>
      <w:r>
        <w:rPr>
          <w:rFonts w:hint="eastAsia" w:ascii="黑体" w:eastAsia="黑体"/>
          <w:bCs/>
          <w:color w:val="000000"/>
          <w:sz w:val="44"/>
        </w:rPr>
        <w:t xml:space="preserve">第</w:t>
      </w:r>
      <w:bookmarkEnd w:id="185"/>
      <w:r>
        <w:rPr>
          <w:rFonts w:hint="eastAsia" w:ascii="黑体" w:eastAsia="黑体"/>
          <w:bCs/>
          <w:color w:val="000000"/>
          <w:sz w:val="44"/>
        </w:rPr>
        <w:t xml:space="preserve">四章 采购需求</w:t>
      </w:r>
      <w:bookmarkEnd w:id="186"/>
      <w:r/>
      <w:bookmarkEnd w:id="187"/>
      <w:r/>
      <w:bookmarkEnd w:id="188"/>
      <w:r>
        <w:rPr>
          <w:rFonts w:hint="eastAsia" w:hAnsi="宋体"/>
          <w:color w:val="000000"/>
          <w:sz w:val="24"/>
          <w:szCs w:val="24"/>
        </w:rPr>
      </w:r>
      <w:r/>
    </w:p>
    <w:p>
      <w:pPr>
        <w:pStyle w:val="942"/>
        <w:ind w:firstLine="640"/>
        <w:spacing w:before="120" w:after="120" w:line="560" w:lineRule="exact"/>
        <w:rPr>
          <w:rFonts w:hint="eastAsia" w:ascii="方正黑体_GBK" w:hAnsi="方正黑体_GBK" w:eastAsia="方正黑体_GBK" w:cs="方正黑体_GBK"/>
          <w:bCs/>
          <w:color w:val="000000"/>
          <w:sz w:val="32"/>
          <w:szCs w:val="32"/>
          <w:lang w:eastAsia="zh-CN"/>
        </w:rPr>
      </w:pPr>
      <w:r/>
      <w:bookmarkStart w:id="191" w:name="_Toc49090575"/>
      <w:r/>
      <w:bookmarkStart w:id="192" w:name="_Toc26554093"/>
      <w:r>
        <w:rPr>
          <w:rFonts w:hint="eastAsia" w:ascii="方正黑体_GBK" w:hAnsi="方正黑体_GBK" w:eastAsia="方正黑体_GBK" w:cs="方正黑体_GBK"/>
          <w:bCs/>
          <w:color w:val="000000"/>
          <w:sz w:val="32"/>
          <w:szCs w:val="32"/>
        </w:rPr>
        <w:t xml:space="preserve">采购标的清单</w:t>
      </w:r>
      <w:r>
        <w:rPr>
          <w:rFonts w:hint="eastAsia" w:ascii="方正黑体_GBK" w:hAnsi="方正黑体_GBK" w:eastAsia="方正黑体_GBK" w:cs="方正黑体_GBK"/>
          <w:bCs/>
          <w:color w:val="000000"/>
          <w:sz w:val="32"/>
          <w:szCs w:val="32"/>
          <w:lang w:eastAsia="zh-CN"/>
        </w:rPr>
      </w:r>
      <w:r/>
    </w:p>
    <w:tbl>
      <w:tblPr>
        <w:tblW w:w="6748"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777"/>
        <w:gridCol w:w="1823"/>
      </w:tblGrid>
      <w:tr>
        <w:trPr/>
        <w:tc>
          <w:tcPr>
            <w:tcW w:w="1148" w:type="dxa"/>
            <w:vAlign w:val="top"/>
            <w:textDirection w:val="lrTb"/>
            <w:noWrap w:val="false"/>
          </w:tcPr>
          <w:p>
            <w:pPr>
              <w:pStyle w:val="903"/>
              <w:jc w:val="center"/>
              <w:spacing w:line="400" w:lineRule="exact"/>
              <w:rPr>
                <w:color w:val="000000"/>
                <w:sz w:val="24"/>
                <w:szCs w:val="24"/>
              </w:rPr>
            </w:pPr>
            <w:r>
              <w:rPr>
                <w:color w:val="000000"/>
                <w:sz w:val="24"/>
                <w:szCs w:val="24"/>
              </w:rPr>
              <w:t xml:space="preserve">采购包号</w:t>
            </w:r>
            <w:r/>
          </w:p>
        </w:tc>
        <w:tc>
          <w:tcPr>
            <w:tcW w:w="3777" w:type="dxa"/>
            <w:vAlign w:val="center"/>
            <w:textDirection w:val="lrTb"/>
            <w:noWrap w:val="false"/>
          </w:tcPr>
          <w:p>
            <w:pPr>
              <w:pStyle w:val="903"/>
              <w:jc w:val="center"/>
              <w:spacing w:line="400" w:lineRule="exact"/>
              <w:rPr>
                <w:color w:val="000000"/>
                <w:sz w:val="24"/>
                <w:szCs w:val="24"/>
              </w:rPr>
            </w:pPr>
            <w:r>
              <w:rPr>
                <w:color w:val="000000"/>
                <w:sz w:val="24"/>
                <w:szCs w:val="24"/>
              </w:rPr>
              <w:t xml:space="preserve">采购标的</w:t>
            </w:r>
            <w:r/>
          </w:p>
        </w:tc>
        <w:tc>
          <w:tcPr>
            <w:tcW w:w="1823" w:type="dxa"/>
            <w:vAlign w:val="center"/>
            <w:textDirection w:val="lrTb"/>
            <w:noWrap w:val="false"/>
          </w:tcPr>
          <w:p>
            <w:pPr>
              <w:pStyle w:val="903"/>
              <w:jc w:val="center"/>
              <w:spacing w:line="0" w:lineRule="atLeast"/>
              <w:rPr>
                <w:color w:val="000000"/>
                <w:sz w:val="24"/>
                <w:szCs w:val="24"/>
              </w:rPr>
            </w:pPr>
            <w:r>
              <w:rPr>
                <w:color w:val="000000"/>
                <w:sz w:val="24"/>
                <w:szCs w:val="24"/>
              </w:rPr>
              <w:t xml:space="preserve">对应中小企业划分标准所属行业</w:t>
            </w:r>
            <w:r/>
          </w:p>
        </w:tc>
      </w:tr>
      <w:tr>
        <w:trPr/>
        <w:tc>
          <w:tcPr>
            <w:tcW w:w="1148" w:type="dxa"/>
            <w:vAlign w:val="top"/>
            <w:textDirection w:val="lrTb"/>
            <w:noWrap w:val="false"/>
          </w:tcPr>
          <w:p>
            <w:pPr>
              <w:pStyle w:val="903"/>
              <w:jc w:val="center"/>
              <w:spacing w:line="400" w:lineRule="exact"/>
              <w:rPr>
                <w:color w:val="000000"/>
                <w:sz w:val="24"/>
                <w:szCs w:val="24"/>
              </w:rPr>
            </w:pPr>
            <w:r>
              <w:rPr>
                <w:color w:val="000000"/>
                <w:sz w:val="24"/>
                <w:szCs w:val="24"/>
              </w:rPr>
              <w:t xml:space="preserve">1</w:t>
            </w:r>
            <w:r/>
          </w:p>
        </w:tc>
        <w:tc>
          <w:tcPr>
            <w:tcW w:w="3777" w:type="dxa"/>
            <w:vAlign w:val="center"/>
            <w:textDirection w:val="lrTb"/>
            <w:noWrap w:val="false"/>
          </w:tcPr>
          <w:p>
            <w:pPr>
              <w:pStyle w:val="903"/>
              <w:jc w:val="center"/>
              <w:spacing w:line="400" w:lineRule="exact"/>
              <w:rPr>
                <w:color w:val="000000"/>
                <w:sz w:val="24"/>
                <w:szCs w:val="24"/>
                <w:highlight w:val="yellow"/>
              </w:rPr>
            </w:pPr>
            <w:r>
              <w:rPr>
                <w:color w:val="000000"/>
                <w:sz w:val="24"/>
                <w:szCs w:val="24"/>
              </w:rPr>
              <w:t xml:space="preserve">江苏省生态环境厅网络安全设备租赁与灾备服务项目</w:t>
            </w:r>
            <w:r>
              <w:rPr>
                <w:color w:val="000000"/>
                <w:sz w:val="24"/>
                <w:szCs w:val="24"/>
                <w:highlight w:val="yellow"/>
              </w:rPr>
            </w:r>
            <w:r/>
          </w:p>
        </w:tc>
        <w:tc>
          <w:tcPr>
            <w:tcW w:w="1823" w:type="dxa"/>
            <w:vAlign w:val="center"/>
            <w:textDirection w:val="lrTb"/>
            <w:noWrap w:val="false"/>
          </w:tcPr>
          <w:p>
            <w:pPr>
              <w:pStyle w:val="903"/>
              <w:jc w:val="center"/>
              <w:spacing w:line="0" w:lineRule="atLeast"/>
              <w:rPr>
                <w:color w:val="000000"/>
                <w:sz w:val="24"/>
                <w:szCs w:val="24"/>
                <w:highlight w:val="yellow"/>
              </w:rPr>
            </w:pPr>
            <w:r>
              <w:rPr>
                <w:color w:val="000000"/>
                <w:sz w:val="24"/>
                <w:szCs w:val="24"/>
                <w:lang w:val="zh-CN"/>
              </w:rPr>
              <w:t xml:space="preserve">信息传输业</w:t>
            </w:r>
            <w:r>
              <w:rPr>
                <w:color w:val="000000"/>
                <w:sz w:val="24"/>
                <w:szCs w:val="24"/>
                <w:highlight w:val="yellow"/>
              </w:rPr>
            </w:r>
            <w:r/>
          </w:p>
        </w:tc>
      </w:tr>
      <w:tr>
        <w:trPr/>
        <w:tc>
          <w:tcPr>
            <w:tcW w:w="1148" w:type="dxa"/>
            <w:vAlign w:val="top"/>
            <w:textDirection w:val="lrTb"/>
            <w:noWrap w:val="false"/>
          </w:tcPr>
          <w:p>
            <w:pPr>
              <w:pStyle w:val="903"/>
              <w:jc w:val="center"/>
              <w:spacing w:line="400" w:lineRule="exact"/>
              <w:rPr>
                <w:color w:val="000000"/>
                <w:sz w:val="24"/>
                <w:szCs w:val="24"/>
              </w:rPr>
            </w:pPr>
            <w:r>
              <w:rPr>
                <w:color w:val="000000"/>
                <w:sz w:val="24"/>
                <w:szCs w:val="24"/>
              </w:rPr>
              <w:t xml:space="preserve">2</w:t>
            </w:r>
            <w:r/>
          </w:p>
        </w:tc>
        <w:tc>
          <w:tcPr>
            <w:tcW w:w="3777" w:type="dxa"/>
            <w:vAlign w:val="top"/>
            <w:textDirection w:val="lrTb"/>
            <w:noWrap w:val="false"/>
          </w:tcPr>
          <w:p>
            <w:pPr>
              <w:pStyle w:val="903"/>
              <w:jc w:val="center"/>
              <w:spacing w:line="400" w:lineRule="exact"/>
              <w:rPr>
                <w:color w:val="000000"/>
                <w:sz w:val="24"/>
                <w:szCs w:val="24"/>
                <w:highlight w:val="yellow"/>
              </w:rPr>
            </w:pPr>
            <w:r>
              <w:rPr>
                <w:color w:val="000000"/>
                <w:sz w:val="24"/>
                <w:szCs w:val="24"/>
              </w:rPr>
              <w:t xml:space="preserve">江苏省生态环境厅移动办公数据接入和视频监控租赁服务项目</w:t>
            </w:r>
            <w:r>
              <w:rPr>
                <w:color w:val="000000"/>
                <w:sz w:val="24"/>
                <w:szCs w:val="24"/>
                <w:highlight w:val="yellow"/>
              </w:rPr>
            </w:r>
            <w:r/>
          </w:p>
        </w:tc>
        <w:tc>
          <w:tcPr>
            <w:tcW w:w="1823" w:type="dxa"/>
            <w:vAlign w:val="center"/>
            <w:textDirection w:val="lrTb"/>
            <w:noWrap w:val="false"/>
          </w:tcPr>
          <w:p>
            <w:pPr>
              <w:pStyle w:val="903"/>
              <w:jc w:val="center"/>
              <w:spacing w:line="0" w:lineRule="atLeast"/>
              <w:rPr>
                <w:color w:val="000000"/>
                <w:sz w:val="24"/>
                <w:szCs w:val="24"/>
                <w:highlight w:val="yellow"/>
              </w:rPr>
            </w:pPr>
            <w:r>
              <w:rPr>
                <w:color w:val="000000"/>
                <w:sz w:val="24"/>
                <w:szCs w:val="24"/>
                <w:lang w:val="zh-CN"/>
              </w:rPr>
              <w:t xml:space="preserve">信息传输业</w:t>
            </w:r>
            <w:r>
              <w:rPr>
                <w:color w:val="000000"/>
                <w:sz w:val="24"/>
                <w:szCs w:val="24"/>
                <w:highlight w:val="yellow"/>
              </w:rPr>
            </w:r>
            <w:r/>
          </w:p>
        </w:tc>
      </w:tr>
    </w:tbl>
    <w:p>
      <w:pPr>
        <w:pStyle w:val="1025"/>
        <w:ind w:firstLine="480"/>
        <w:rPr>
          <w:rFonts w:hint="eastAsia" w:ascii="Times New Roman" w:hAnsi="Times New Roman"/>
          <w:color w:val="000000"/>
          <w:szCs w:val="24"/>
        </w:rPr>
      </w:pPr>
      <w:r>
        <w:rPr>
          <w:rFonts w:hint="eastAsia" w:ascii="Times New Roman" w:hAnsi="Times New Roman"/>
          <w:color w:val="000000"/>
          <w:szCs w:val="24"/>
        </w:rPr>
        <w:t xml:space="preserve">一</w:t>
      </w:r>
      <w:r>
        <w:rPr>
          <w:rFonts w:hint="eastAsia" w:ascii="Times New Roman" w:hAnsi="Times New Roman"/>
          <w:color w:val="000000"/>
          <w:szCs w:val="24"/>
        </w:rPr>
        <w:t xml:space="preserve">、</w:t>
      </w:r>
      <w:r>
        <w:rPr>
          <w:rFonts w:hint="eastAsia" w:ascii="Times New Roman" w:hAnsi="Times New Roman"/>
          <w:b/>
          <w:color w:val="000000"/>
          <w:szCs w:val="24"/>
        </w:rPr>
        <w:t xml:space="preserve">政府采购中实施本国产品标准及相关政策</w:t>
      </w:r>
      <w:r>
        <w:rPr>
          <w:rFonts w:hint="eastAsia" w:ascii="Times New Roman" w:hAnsi="Times New Roman"/>
          <w:color w:val="000000"/>
          <w:szCs w:val="24"/>
        </w:rPr>
      </w:r>
      <w:r/>
    </w:p>
    <w:p>
      <w:pPr>
        <w:pStyle w:val="1025"/>
        <w:ind w:firstLine="480"/>
        <w:rPr>
          <w:rFonts w:hint="eastAsia" w:ascii="Times New Roman" w:hAnsi="Times New Roman"/>
          <w:color w:val="000000"/>
          <w:szCs w:val="24"/>
        </w:rPr>
      </w:pPr>
      <w:r>
        <w:rPr>
          <w:rFonts w:hint="eastAsia" w:ascii="Times New Roman" w:hAnsi="Times New Roman"/>
          <w:color w:val="000000"/>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1025"/>
        <w:ind w:firstLine="480"/>
        <w:rPr>
          <w:rFonts w:hint="eastAsia" w:ascii="Times New Roman" w:hAnsi="Times New Roman"/>
          <w:color w:val="000000"/>
          <w:szCs w:val="24"/>
        </w:rPr>
      </w:pPr>
      <w:r>
        <w:rPr>
          <w:rFonts w:hint="eastAsia" w:ascii="Times New Roman" w:hAnsi="Times New Roman"/>
          <w:color w:val="000000"/>
          <w:szCs w:val="24"/>
        </w:rPr>
        <w:t xml:space="preserve">2.</w:t>
      </w:r>
      <w:r>
        <w:rPr>
          <w:rFonts w:hint="eastAsia" w:ascii="Times New Roman" w:hAnsi="Times New Roman"/>
          <w:b/>
          <w:color w:val="000000"/>
          <w:szCs w:val="24"/>
        </w:rPr>
        <w:t xml:space="preserve">本国产品标准适用于服务项目中涉及的货物。</w:t>
      </w:r>
      <w:r>
        <w:rPr>
          <w:rFonts w:hint="eastAsia" w:ascii="Times New Roman" w:hAnsi="Times New Roman"/>
          <w:color w:val="000000"/>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25"/>
        <w:ind w:firstLine="480"/>
        <w:rPr>
          <w:rFonts w:hint="eastAsia" w:ascii="Times New Roman" w:hAnsi="Times New Roman"/>
          <w:color w:val="000000"/>
          <w:szCs w:val="24"/>
        </w:rPr>
      </w:pPr>
      <w:r>
        <w:rPr>
          <w:rFonts w:hint="eastAsia" w:ascii="Times New Roman" w:hAnsi="Times New Roman"/>
          <w:color w:val="000000"/>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44"/>
        <w:ind w:firstLine="482"/>
        <w:spacing w:before="145" w:after="145"/>
        <w:rPr>
          <w:rFonts w:ascii="Times New Roman" w:hAnsi="Times New Roman"/>
          <w:b/>
          <w:color w:val="000000"/>
          <w:sz w:val="32"/>
          <w:szCs w:val="32"/>
          <w:lang w:eastAsia="zh-CN"/>
        </w:rPr>
        <w:outlineLvl w:val="1"/>
      </w:pPr>
      <w:r>
        <w:rPr>
          <w:rFonts w:ascii="Times New Roman" w:hAnsi="Times New Roman"/>
          <w:b/>
          <w:color w:val="000000"/>
          <w:sz w:val="32"/>
          <w:szCs w:val="32"/>
          <w:lang w:eastAsia="zh-CN"/>
        </w:rPr>
        <w:t xml:space="preserve">二、项目背景</w:t>
      </w:r>
      <w:r/>
    </w:p>
    <w:p>
      <w:pPr>
        <w:pStyle w:val="1025"/>
        <w:ind w:firstLine="480"/>
        <w:rPr>
          <w:rFonts w:ascii="Times New Roman" w:hAnsi="Times New Roman"/>
          <w:bCs/>
          <w:color w:val="000000"/>
        </w:rPr>
      </w:pPr>
      <w:r>
        <w:rPr>
          <w:rFonts w:ascii="Times New Roman" w:hAnsi="Times New Roman"/>
          <w:bCs/>
          <w:color w:val="000000"/>
        </w:rPr>
        <w:t xml:space="preserve">分包一：</w:t>
      </w:r>
      <w:r/>
    </w:p>
    <w:p>
      <w:pPr>
        <w:pStyle w:val="1025"/>
        <w:ind w:firstLine="480"/>
        <w:rPr>
          <w:rFonts w:ascii="Times New Roman" w:hAnsi="Times New Roman"/>
          <w:color w:val="000000"/>
          <w:szCs w:val="24"/>
        </w:rPr>
      </w:pPr>
      <w:r>
        <w:rPr>
          <w:rFonts w:ascii="Times New Roman" w:hAnsi="Times New Roman"/>
          <w:bCs/>
          <w:color w:val="000000"/>
        </w:rPr>
        <w:t xml:space="preserve">为保障全省生态环境业务网络平稳运行，</w:t>
      </w:r>
      <w:r>
        <w:rPr>
          <w:rFonts w:ascii="Times New Roman" w:hAnsi="Times New Roman"/>
          <w:color w:val="000000"/>
          <w:szCs w:val="24"/>
        </w:rPr>
        <w:t xml:space="preserve">现需购买网络安全设备租赁与灾备服务，由项目服务方梳理厅内现有网络情况，结合省生态环境厅的实际应用和发展要求，提供专网运营所需的网络设备、安全设备和驻场服务，业务专网运营需保证生态环境厅现有业务的可靠运行，组网后的网络需继续沿用生态环境系统地址规划。全省生态环境业务专网已升级改造并入电子政务外网，需根据厅内实际需求以及办公场地需求，采购业务相关横向单位线路服务以及厅直属单位以及厅内灾备同步线路服务，共计9条MSTP/OTN和1条裸纤</w:t>
      </w:r>
      <w:r/>
    </w:p>
    <w:p>
      <w:pPr>
        <w:pStyle w:val="903"/>
        <w:ind w:firstLine="540"/>
        <w:spacing w:line="360" w:lineRule="auto"/>
        <w:rPr>
          <w:color w:val="000000"/>
          <w:sz w:val="24"/>
          <w:szCs w:val="24"/>
        </w:rPr>
      </w:pPr>
      <w:r>
        <w:rPr>
          <w:color w:val="000000"/>
          <w:sz w:val="24"/>
          <w:szCs w:val="24"/>
        </w:rPr>
        <w:t xml:space="preserve">分包二：</w:t>
      </w:r>
      <w:r/>
    </w:p>
    <w:p>
      <w:pPr>
        <w:pStyle w:val="903"/>
        <w:ind w:firstLine="540"/>
        <w:spacing w:line="360" w:lineRule="auto"/>
        <w:rPr>
          <w:color w:val="000000"/>
          <w:sz w:val="24"/>
          <w:szCs w:val="24"/>
        </w:rPr>
      </w:pPr>
      <w:r>
        <w:rPr>
          <w:color w:val="000000"/>
          <w:sz w:val="24"/>
          <w:szCs w:val="24"/>
        </w:rPr>
        <w:t xml:space="preserve">为保障太湖应急指挥系统中无锡、苏州、常州、宜兴、吴江等环太湖沿岸视频监控系统，</w:t>
      </w:r>
      <w:r>
        <w:rPr>
          <w:color w:val="000000"/>
          <w:sz w:val="24"/>
        </w:rPr>
        <w:t xml:space="preserve">现需采购服务商提供全球眼视频监控系统，预计采购46个点位全球眼视频监控</w:t>
      </w:r>
      <w:r>
        <w:rPr>
          <w:color w:val="000000"/>
          <w:sz w:val="24"/>
          <w:szCs w:val="24"/>
        </w:rPr>
        <w:t xml:space="preserve">，主要包括3年专网运营服务所需提供的软硬件服务、视频监控相关支撑运维服务。</w:t>
      </w:r>
      <w:r/>
    </w:p>
    <w:p>
      <w:pPr>
        <w:pStyle w:val="903"/>
        <w:ind w:firstLine="240"/>
        <w:spacing w:line="360" w:lineRule="auto"/>
        <w:rPr>
          <w:color w:val="000000"/>
          <w:sz w:val="24"/>
          <w:szCs w:val="24"/>
        </w:rPr>
      </w:pPr>
      <w:r>
        <w:rPr>
          <w:color w:val="000000"/>
          <w:sz w:val="24"/>
          <w:szCs w:val="24"/>
        </w:rPr>
        <w:t xml:space="preserve"> 采购面向江苏省生态环境厅全体员工提供移动办公系统数据接入服务，预计采购数量约630套，在保障网络安全的前提下，确保移动端在高速流量环境下平滑过渡，同时满足语音通话、内部通信等功能，为居家办公、提供必要条件，提升服务适配性与用户使用体验。</w:t>
      </w:r>
      <w:r/>
    </w:p>
    <w:p>
      <w:pPr>
        <w:pStyle w:val="903"/>
        <w:ind w:firstLine="540"/>
        <w:spacing w:line="360" w:lineRule="auto"/>
        <w:rPr>
          <w:color w:val="000000"/>
          <w:sz w:val="24"/>
          <w:szCs w:val="24"/>
        </w:rPr>
      </w:pPr>
      <w:r>
        <w:rPr>
          <w:color w:val="000000"/>
          <w:sz w:val="24"/>
          <w:szCs w:val="24"/>
        </w:rPr>
        <w:t xml:space="preserve">采购同时包含楼内楼层交换设备升级部署与A 级灾备机房及配套监控服务，通过新增千兆、万兆交换机完成厅内办公网络端口扩容、性能提升与安全加固，实现网络切片、智能运维与国产化硬件适配；并依托符合 GB501742017 A 级标准的灾备机房提供机柜、独立冷通道、双路 UPS供电及7×24 小时温湿度、配电实时监控服务，确保生态环境业务网络全链路高可用、安全稳定运行。</w:t>
      </w:r>
      <w:r/>
    </w:p>
    <w:p>
      <w:pPr>
        <w:pStyle w:val="903"/>
        <w:ind w:firstLine="480"/>
        <w:rPr>
          <w:color w:val="000000"/>
          <w:sz w:val="24"/>
          <w:szCs w:val="24"/>
        </w:rPr>
      </w:pPr>
      <w:r>
        <w:rPr>
          <w:bCs/>
          <w:color w:val="000000"/>
          <w:sz w:val="24"/>
          <w:szCs w:val="24"/>
        </w:rPr>
        <w:t xml:space="preserve">拟对省生态环境厅互联网宽带以及厅直属单位互联网宽带的1年租赁使用权以及线路服务等内容进行采购，包含</w:t>
      </w:r>
      <w:r>
        <w:rPr>
          <w:color w:val="000000"/>
          <w:sz w:val="24"/>
          <w:szCs w:val="24"/>
        </w:rPr>
        <w:t xml:space="preserve">互联网专线线路及配套的公网IP，实现公网接入，满足日益增长的对外服务和日常办公，共2条500M宽带、1条400M、2条300M、2条100M、1条50M的互联网专线接入服务。</w:t>
      </w:r>
      <w:r/>
    </w:p>
    <w:p>
      <w:pPr>
        <w:pStyle w:val="903"/>
        <w:ind w:firstLine="480"/>
        <w:rPr>
          <w:color w:val="000000"/>
          <w:sz w:val="24"/>
          <w:szCs w:val="24"/>
        </w:rPr>
      </w:pPr>
      <w:r/>
      <w:bookmarkStart w:id="193" w:name="OLE_LINK42"/>
      <w:r>
        <w:rPr>
          <w:color w:val="000000"/>
          <w:sz w:val="24"/>
          <w:szCs w:val="24"/>
        </w:rPr>
        <w:t xml:space="preserve">本次招标服务期3年，合同为一年一签。</w:t>
      </w:r>
      <w:bookmarkEnd w:id="193"/>
      <w:r>
        <w:rPr>
          <w:color w:val="000000"/>
          <w:sz w:val="24"/>
          <w:szCs w:val="24"/>
        </w:rPr>
      </w:r>
      <w:r/>
    </w:p>
    <w:p>
      <w:pPr>
        <w:pStyle w:val="1044"/>
        <w:ind w:firstLine="482"/>
        <w:spacing w:before="145" w:after="145"/>
        <w:rPr>
          <w:rFonts w:ascii="Times New Roman" w:hAnsi="Times New Roman"/>
          <w:b/>
          <w:color w:val="000000"/>
          <w:sz w:val="32"/>
          <w:szCs w:val="32"/>
          <w:lang w:eastAsia="zh-CN"/>
        </w:rPr>
        <w:outlineLvl w:val="1"/>
      </w:pPr>
      <w:r>
        <w:rPr>
          <w:rFonts w:ascii="Times New Roman" w:hAnsi="Times New Roman"/>
          <w:b/>
          <w:color w:val="000000"/>
          <w:sz w:val="32"/>
          <w:szCs w:val="32"/>
          <w:lang w:eastAsia="zh-CN"/>
        </w:rPr>
        <w:t xml:space="preserve">三、建设原则</w:t>
      </w:r>
      <w:r/>
    </w:p>
    <w:p>
      <w:pPr>
        <w:pStyle w:val="1025"/>
        <w:ind w:firstLine="480"/>
        <w:rPr>
          <w:rFonts w:ascii="Times New Roman" w:hAnsi="Times New Roman"/>
          <w:color w:val="000000"/>
        </w:rPr>
      </w:pPr>
      <w:r>
        <w:rPr>
          <w:rFonts w:ascii="Times New Roman" w:hAnsi="Times New Roman"/>
          <w:color w:val="000000"/>
        </w:rPr>
        <w:t xml:space="preserve">结合江苏省生态环境系统的实际应用和发展要求，在进行江苏省生态环境厅专网运营时，系统总体设计遵循以下原则：</w:t>
      </w:r>
      <w:r/>
    </w:p>
    <w:p>
      <w:pPr>
        <w:pStyle w:val="1025"/>
        <w:ind w:firstLine="482"/>
        <w:rPr>
          <w:rFonts w:ascii="Times New Roman" w:hAnsi="Times New Roman"/>
          <w:color w:val="000000"/>
        </w:rPr>
      </w:pPr>
      <w:r>
        <w:rPr>
          <w:rFonts w:ascii="Times New Roman" w:hAnsi="Times New Roman"/>
          <w:b/>
          <w:bCs/>
          <w:color w:val="000000"/>
        </w:rPr>
        <w:t xml:space="preserve">实用性原则：</w:t>
      </w:r>
      <w:r>
        <w:rPr>
          <w:rFonts w:ascii="Times New Roman" w:hAnsi="Times New Roman"/>
          <w:color w:val="000000"/>
        </w:rPr>
        <w:t xml:space="preserve">江苏省生态环境厅专网项目将以满足现行需求为基础，在节省投资的同时，充分考虑发展的需要来确定系统规模。</w:t>
      </w:r>
      <w:r/>
    </w:p>
    <w:p>
      <w:pPr>
        <w:pStyle w:val="1025"/>
        <w:ind w:firstLine="482"/>
        <w:rPr>
          <w:rFonts w:ascii="Times New Roman" w:hAnsi="Times New Roman"/>
          <w:color w:val="000000"/>
        </w:rPr>
      </w:pPr>
      <w:r>
        <w:rPr>
          <w:rFonts w:ascii="Times New Roman" w:hAnsi="Times New Roman"/>
          <w:b/>
          <w:bCs/>
          <w:color w:val="000000"/>
        </w:rPr>
        <w:t xml:space="preserve">安全性原则：</w:t>
      </w:r>
      <w:r>
        <w:rPr>
          <w:rFonts w:ascii="Times New Roman" w:hAnsi="Times New Roman"/>
          <w:color w:val="000000"/>
        </w:rPr>
        <w:t xml:space="preserve">广域网网络平台服务于全省生态环境部门用户多种业务需要，对安全级别要求很高。系统应能提供网络层的安全手段防止系统外部成员的非法侵入以及操作人员的越级操作，保护网络建设者的合法利益。</w:t>
      </w:r>
      <w:r/>
    </w:p>
    <w:p>
      <w:pPr>
        <w:pStyle w:val="1025"/>
        <w:ind w:firstLine="482"/>
        <w:rPr>
          <w:rFonts w:ascii="Times New Roman" w:hAnsi="Times New Roman"/>
          <w:color w:val="000000"/>
        </w:rPr>
      </w:pPr>
      <w:r>
        <w:rPr>
          <w:rFonts w:ascii="Times New Roman" w:hAnsi="Times New Roman"/>
          <w:b/>
          <w:bCs/>
          <w:color w:val="000000"/>
        </w:rPr>
        <w:t xml:space="preserve">可靠性原则：</w:t>
      </w:r>
      <w:r>
        <w:rPr>
          <w:rFonts w:ascii="Times New Roman" w:hAnsi="Times New Roman"/>
          <w:color w:val="000000"/>
        </w:rPr>
        <w:t xml:space="preserve">系统设计能有效的避免单点失败，在设备的选择和关键设备的互联时，应提供充分的冗余备份，一方面最大限度地减少故障的可能性，另一方面要保证网络能在最短时间内修复。</w:t>
      </w:r>
      <w:r/>
    </w:p>
    <w:p>
      <w:pPr>
        <w:pStyle w:val="1025"/>
        <w:ind w:firstLine="482"/>
        <w:rPr>
          <w:rFonts w:ascii="Times New Roman" w:hAnsi="Times New Roman"/>
          <w:color w:val="000000"/>
        </w:rPr>
      </w:pPr>
      <w:r>
        <w:rPr>
          <w:rFonts w:ascii="Times New Roman" w:hAnsi="Times New Roman"/>
          <w:b/>
          <w:bCs/>
          <w:color w:val="000000"/>
        </w:rPr>
        <w:t xml:space="preserve">成熟和先进性原则：</w:t>
      </w:r>
      <w:r>
        <w:rPr>
          <w:rFonts w:ascii="Times New Roman" w:hAnsi="Times New Roman"/>
          <w:color w:val="000000"/>
        </w:rPr>
        <w:t xml:space="preserve">江苏省生态环境厅专网项目系统结构设计、系统配置、系统管理方式等方面应采用国际上先进的同时又是成熟、实用的技术。</w:t>
      </w:r>
      <w:r/>
    </w:p>
    <w:p>
      <w:pPr>
        <w:pStyle w:val="1025"/>
        <w:ind w:firstLine="482"/>
        <w:rPr>
          <w:rFonts w:ascii="Times New Roman" w:hAnsi="Times New Roman"/>
          <w:color w:val="000000"/>
        </w:rPr>
      </w:pPr>
      <w:r>
        <w:rPr>
          <w:rFonts w:ascii="Times New Roman" w:hAnsi="Times New Roman"/>
          <w:b/>
          <w:bCs/>
          <w:color w:val="000000"/>
        </w:rPr>
        <w:t xml:space="preserve">高可用性原则：</w:t>
      </w:r>
      <w:r>
        <w:rPr>
          <w:rFonts w:ascii="Times New Roman" w:hAnsi="Times New Roman"/>
          <w:color w:val="000000"/>
        </w:rPr>
        <w:t xml:space="preserve">具有较高的可靠性和可用性前提下，保证重要业务系统的正常运行。网络设备及设计具备在线故障恢复能力，关键设备、线路能做到实时备份和自动故障切换。网络系统具有强大的容错功能以确保各种应用的正常运行，在网络设计上采用网络级备份或线路及设备的冗余配置。没有单故障点，广域网线路之间相关系数最小。</w:t>
      </w:r>
      <w:r/>
    </w:p>
    <w:p>
      <w:pPr>
        <w:pStyle w:val="1025"/>
        <w:ind w:firstLine="482"/>
        <w:rPr>
          <w:rFonts w:ascii="Times New Roman" w:hAnsi="Times New Roman"/>
          <w:color w:val="000000"/>
        </w:rPr>
      </w:pPr>
      <w:r>
        <w:rPr>
          <w:rFonts w:ascii="Times New Roman" w:hAnsi="Times New Roman"/>
          <w:b/>
          <w:bCs/>
          <w:color w:val="000000"/>
        </w:rPr>
        <w:t xml:space="preserve">规范性原则：</w:t>
      </w:r>
      <w:r>
        <w:rPr>
          <w:rFonts w:ascii="Times New Roman" w:hAnsi="Times New Roman"/>
          <w:color w:val="000000"/>
        </w:rPr>
        <w:t xml:space="preserve">系统设计所采用的技术和设备应符合国际标准、国家标准和业界标准，为系统的扩展升级、与其他系统的互联提供良好的基础。</w:t>
      </w:r>
      <w:r/>
    </w:p>
    <w:p>
      <w:pPr>
        <w:pStyle w:val="1025"/>
        <w:ind w:firstLine="482"/>
        <w:rPr>
          <w:rFonts w:ascii="Times New Roman" w:hAnsi="Times New Roman"/>
          <w:color w:val="000000"/>
        </w:rPr>
      </w:pPr>
      <w:r>
        <w:rPr>
          <w:rFonts w:ascii="Times New Roman" w:hAnsi="Times New Roman"/>
          <w:b/>
          <w:bCs/>
          <w:color w:val="000000"/>
        </w:rPr>
        <w:t xml:space="preserve">开放性和标准化原则：</w:t>
      </w:r>
      <w:r>
        <w:rPr>
          <w:rFonts w:ascii="Times New Roman" w:hAnsi="Times New Roman"/>
          <w:color w:val="000000"/>
        </w:rPr>
        <w:t xml:space="preserve">在设计时，要求提供开放性好、标准化程度高的技术方案；设备的各种接口满足开放和标准化原则。</w:t>
      </w:r>
      <w:r/>
    </w:p>
    <w:p>
      <w:pPr>
        <w:pStyle w:val="1025"/>
        <w:ind w:firstLine="482"/>
        <w:rPr>
          <w:rFonts w:ascii="Times New Roman" w:hAnsi="Times New Roman"/>
          <w:color w:val="000000"/>
        </w:rPr>
      </w:pPr>
      <w:r>
        <w:rPr>
          <w:rFonts w:ascii="Times New Roman" w:hAnsi="Times New Roman"/>
          <w:b/>
          <w:bCs/>
          <w:color w:val="000000"/>
        </w:rPr>
        <w:t xml:space="preserve">可扩充和扩展化原则：</w:t>
      </w:r>
      <w:r>
        <w:rPr>
          <w:rFonts w:ascii="Times New Roman" w:hAnsi="Times New Roman"/>
          <w:color w:val="000000"/>
        </w:rPr>
        <w:t xml:space="preserve">所有系统设备不但满足当前需要，并在扩充模块后满足可预见将来需求，如带宽和设备的扩展，应用的扩展和办公地点的扩展等。保证建设完成后的系统在向新的技术升级时，能保护现有的投资。</w:t>
      </w:r>
      <w:r/>
    </w:p>
    <w:p>
      <w:pPr>
        <w:pStyle w:val="1025"/>
        <w:ind w:firstLine="482"/>
        <w:rPr>
          <w:rFonts w:ascii="Times New Roman" w:hAnsi="Times New Roman"/>
          <w:color w:val="000000"/>
        </w:rPr>
      </w:pPr>
      <w:r>
        <w:rPr>
          <w:rFonts w:ascii="Times New Roman" w:hAnsi="Times New Roman"/>
          <w:b/>
          <w:bCs/>
          <w:color w:val="000000"/>
        </w:rPr>
        <w:t xml:space="preserve">可管理性原则：</w:t>
      </w:r>
      <w:r>
        <w:rPr>
          <w:rFonts w:ascii="Times New Roman" w:hAnsi="Times New Roman"/>
          <w:color w:val="000000"/>
        </w:rPr>
        <w:t xml:space="preserve">考虑到当前生态环境系统信息技术专业人才数量相对少，网络建设维护、信息资源开发能力相对较弱，因此整个系统的设备应易于管理，易于维护，易学，易用，便于进行系统配置，在设备、安全性、数据流量、性能等方面很好的监视和控制，远程管理和故障诊断。</w:t>
      </w:r>
      <w:r/>
    </w:p>
    <w:p>
      <w:pPr>
        <w:pStyle w:val="1025"/>
        <w:ind w:firstLine="482"/>
        <w:rPr>
          <w:rFonts w:ascii="Times New Roman" w:hAnsi="Times New Roman"/>
          <w:color w:val="000000"/>
        </w:rPr>
      </w:pPr>
      <w:r>
        <w:rPr>
          <w:rFonts w:ascii="Times New Roman" w:hAnsi="Times New Roman"/>
          <w:b/>
          <w:bCs/>
          <w:color w:val="000000"/>
        </w:rPr>
        <w:t xml:space="preserve">业务连续性原则：</w:t>
      </w:r>
      <w:r>
        <w:rPr>
          <w:rFonts w:ascii="Times New Roman" w:hAnsi="Times New Roman"/>
          <w:color w:val="000000"/>
        </w:rPr>
        <w:t xml:space="preserve">考虑到当前业务专网已承载省生态环境厅的重要业务应用，本次专网运营服务应充分考虑业务连续性需求，提供合理的割接方案，避免业务中断造成不良影响。</w:t>
      </w:r>
      <w:r/>
    </w:p>
    <w:p>
      <w:pPr>
        <w:pStyle w:val="1044"/>
        <w:ind w:firstLine="482"/>
        <w:spacing w:before="145" w:after="145"/>
        <w:rPr>
          <w:rFonts w:ascii="Times New Roman" w:hAnsi="Times New Roman"/>
          <w:b/>
          <w:color w:val="000000"/>
          <w:sz w:val="32"/>
          <w:szCs w:val="32"/>
          <w:lang w:eastAsia="zh-CN"/>
        </w:rPr>
        <w:outlineLvl w:val="1"/>
      </w:pPr>
      <w:r>
        <w:rPr>
          <w:rFonts w:ascii="Times New Roman" w:hAnsi="Times New Roman"/>
          <w:b/>
          <w:color w:val="000000"/>
          <w:sz w:val="32"/>
          <w:szCs w:val="32"/>
          <w:lang w:eastAsia="zh-CN"/>
        </w:rPr>
        <w:t xml:space="preserve">四、技术要求</w:t>
      </w:r>
      <w:r/>
    </w:p>
    <w:p>
      <w:pPr>
        <w:pStyle w:val="903"/>
        <w:ind w:firstLine="480"/>
        <w:rPr>
          <w:color w:val="000000"/>
        </w:rPr>
      </w:pPr>
      <w:r>
        <w:rPr>
          <w:bCs/>
          <w:color w:val="000000"/>
          <w:sz w:val="24"/>
          <w:szCs w:val="24"/>
        </w:rPr>
        <w:t xml:space="preserve">技术要求是指对采购标的功能和质量要求，包括性能、材料、结构、外观、安全，或者服务内容和标准等。其中</w:t>
      </w:r>
      <w:r>
        <w:rPr>
          <w:b/>
          <w:bCs/>
          <w:i/>
          <w:color w:val="000000"/>
          <w:sz w:val="24"/>
          <w:szCs w:val="24"/>
          <w:u w:val="single"/>
        </w:rPr>
        <w:t xml:space="preserve">斜体且有下划线部分</w:t>
      </w:r>
      <w:r>
        <w:rPr>
          <w:b/>
          <w:bCs/>
          <w:color w:val="000000"/>
          <w:sz w:val="24"/>
          <w:szCs w:val="24"/>
        </w:rPr>
        <w:t xml:space="preserve">或加*号条款为实质性要求。</w:t>
      </w:r>
      <w:r>
        <w:rPr>
          <w:color w:val="000000"/>
        </w:rPr>
      </w:r>
      <w:r/>
    </w:p>
    <w:p>
      <w:pPr>
        <w:pStyle w:val="906"/>
        <w:rPr>
          <w:color w:val="000000"/>
        </w:rPr>
      </w:pPr>
      <w:r>
        <w:rPr>
          <w:b w:val="0"/>
          <w:color w:val="000000"/>
        </w:rPr>
        <w:t xml:space="preserve">采购包</w:t>
      </w:r>
      <w:r>
        <w:rPr>
          <w:color w:val="000000"/>
        </w:rPr>
        <w:t xml:space="preserve">1：江苏省生态环境厅</w:t>
      </w:r>
      <w:bookmarkStart w:id="194" w:name="OLE_LINK36"/>
      <w:r/>
      <w:bookmarkStart w:id="195" w:name="OLE_LINK39"/>
      <w:r>
        <w:rPr>
          <w:color w:val="000000"/>
        </w:rPr>
        <w:t xml:space="preserve">网络安全设备租赁与灾备服务</w:t>
      </w:r>
      <w:bookmarkEnd w:id="194"/>
      <w:r/>
      <w:bookmarkEnd w:id="195"/>
      <w:r>
        <w:rPr>
          <w:color w:val="000000"/>
        </w:rPr>
        <w:t xml:space="preserve">项目</w:t>
      </w:r>
      <w:r/>
    </w:p>
    <w:p>
      <w:pPr>
        <w:pStyle w:val="1025"/>
        <w:ind w:firstLine="480"/>
        <w:rPr>
          <w:rFonts w:ascii="Times New Roman" w:hAnsi="Times New Roman"/>
          <w:color w:val="000000"/>
        </w:rPr>
      </w:pPr>
      <w:r>
        <w:rPr>
          <w:rFonts w:ascii="Times New Roman" w:hAnsi="Times New Roman"/>
          <w:color w:val="000000"/>
        </w:rPr>
        <w:t xml:space="preserve">江苏省生态环境厅已完成业务专网整体升级改造并接入全省电子政务外网，现有业务专网能够有效满足省市县各级单位的使用需求。根据业务实际需要，本次需提供的网络安全设备租赁与灾备服务如下所示：</w:t>
      </w:r>
      <w:r/>
    </w:p>
    <w:tbl>
      <w:tblPr>
        <w:tblW w:w="780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416"/>
        <w:gridCol w:w="2430"/>
        <w:gridCol w:w="2004"/>
        <w:gridCol w:w="672"/>
        <w:gridCol w:w="1287"/>
      </w:tblGrid>
      <w:tr>
        <w:trPr>
          <w:trHeight w:val="288"/>
        </w:trPr>
        <w:tc>
          <w:tcPr>
            <w:shd w:val="clear" w:color="auto" w:fill="f2f2f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16" w:type="dxa"/>
            <w:vAlign w:val="center"/>
            <w:textDirection w:val="lrTb"/>
            <w:noWrap w:val="false"/>
          </w:tcPr>
          <w:p>
            <w:pPr>
              <w:pStyle w:val="903"/>
              <w:jc w:val="center"/>
              <w:widowControl/>
              <w:rPr>
                <w:b/>
                <w:color w:val="000000"/>
                <w:sz w:val="22"/>
                <w:szCs w:val="22"/>
              </w:rPr>
            </w:pPr>
            <w:r>
              <w:rPr>
                <w:b/>
                <w:color w:val="000000"/>
                <w:sz w:val="22"/>
                <w:szCs w:val="22"/>
                <w:lang w:bidi="ar"/>
              </w:rPr>
              <w:t xml:space="preserve">区域</w:t>
            </w:r>
            <w:r>
              <w:rPr>
                <w:b/>
                <w:color w:val="000000"/>
                <w:sz w:val="22"/>
                <w:szCs w:val="22"/>
              </w:rPr>
            </w:r>
            <w:r/>
          </w:p>
        </w:tc>
        <w:tc>
          <w:tcPr>
            <w:shd w:val="clear" w:color="auto" w:fill="f2f2f2"/>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0" w:type="dxa"/>
            <w:vAlign w:val="center"/>
            <w:textDirection w:val="lrTb"/>
            <w:noWrap/>
          </w:tcPr>
          <w:p>
            <w:pPr>
              <w:pStyle w:val="903"/>
              <w:jc w:val="center"/>
              <w:widowControl/>
              <w:rPr>
                <w:b/>
                <w:color w:val="000000"/>
                <w:sz w:val="22"/>
                <w:szCs w:val="22"/>
              </w:rPr>
            </w:pPr>
            <w:r>
              <w:rPr>
                <w:b/>
                <w:color w:val="000000"/>
                <w:sz w:val="22"/>
                <w:szCs w:val="22"/>
                <w:lang w:bidi="ar"/>
              </w:rPr>
              <w:t xml:space="preserve">支持</w:t>
            </w:r>
            <w:r>
              <w:rPr>
                <w:b/>
                <w:color w:val="000000"/>
                <w:sz w:val="22"/>
                <w:szCs w:val="22"/>
              </w:rPr>
            </w:r>
            <w:r/>
          </w:p>
        </w:tc>
        <w:tc>
          <w:tcPr>
            <w:shd w:val="clear" w:color="auto" w:fill="f2f2f2"/>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tcPr>
          <w:p>
            <w:pPr>
              <w:pStyle w:val="903"/>
              <w:jc w:val="center"/>
              <w:widowControl/>
              <w:rPr>
                <w:b/>
                <w:color w:val="000000"/>
                <w:sz w:val="22"/>
                <w:szCs w:val="22"/>
                <w:lang w:bidi="ar"/>
              </w:rPr>
            </w:pPr>
            <w:r>
              <w:rPr>
                <w:b/>
                <w:color w:val="000000"/>
                <w:sz w:val="22"/>
                <w:szCs w:val="22"/>
                <w:lang w:bidi="ar"/>
              </w:rPr>
              <w:t xml:space="preserve">配置要求</w:t>
            </w:r>
            <w:r/>
          </w:p>
        </w:tc>
        <w:tc>
          <w:tcPr>
            <w:shd w:val="clear" w:color="auto" w:fill="f2f2f2"/>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tcPr>
          <w:p>
            <w:pPr>
              <w:pStyle w:val="903"/>
              <w:jc w:val="center"/>
              <w:widowControl/>
              <w:rPr>
                <w:b/>
                <w:color w:val="000000"/>
                <w:sz w:val="22"/>
                <w:szCs w:val="22"/>
              </w:rPr>
            </w:pPr>
            <w:r>
              <w:rPr>
                <w:b/>
                <w:color w:val="000000"/>
                <w:sz w:val="22"/>
                <w:szCs w:val="22"/>
                <w:lang w:bidi="ar"/>
              </w:rPr>
              <w:t xml:space="preserve">数量</w:t>
            </w:r>
            <w:r>
              <w:rPr>
                <w:b/>
                <w:color w:val="000000"/>
                <w:sz w:val="22"/>
                <w:szCs w:val="22"/>
              </w:rPr>
            </w:r>
            <w:r/>
          </w:p>
        </w:tc>
        <w:tc>
          <w:tcPr>
            <w:shd w:val="clear" w:color="auto" w:fill="f2f2f2"/>
            <w:tcBorders>
              <w:top w:val="single" w:color="000000" w:sz="4" w:space="0"/>
              <w:left w:val="single" w:color="000000" w:sz="4" w:space="0"/>
              <w:bottom w:val="single" w:color="000000" w:sz="4" w:space="0"/>
              <w:right w:val="single" w:color="000000" w:sz="4" w:space="0"/>
            </w:tcBorders>
            <w:tcW w:w="1287" w:type="dxa"/>
            <w:vAlign w:val="top"/>
            <w:textDirection w:val="lrTb"/>
            <w:noWrap w:val="false"/>
          </w:tcPr>
          <w:p>
            <w:pPr>
              <w:pStyle w:val="903"/>
              <w:jc w:val="center"/>
              <w:widowControl/>
              <w:rPr>
                <w:b/>
                <w:color w:val="000000"/>
                <w:sz w:val="22"/>
                <w:szCs w:val="22"/>
                <w:lang w:bidi="ar"/>
              </w:rPr>
            </w:pPr>
            <w:r>
              <w:rPr>
                <w:b/>
                <w:color w:val="000000"/>
                <w:sz w:val="22"/>
                <w:szCs w:val="22"/>
                <w:lang w:bidi="ar"/>
              </w:rPr>
              <w:t xml:space="preserve">备注</w:t>
            </w:r>
            <w:r/>
          </w:p>
        </w:tc>
      </w:tr>
      <w:tr>
        <w:trPr>
          <w:cantSplit/>
          <w:trHeight w:val="288"/>
        </w:trPr>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1416" w:type="dxa"/>
            <w:vAlign w:val="center"/>
            <w:vMerge w:val="restart"/>
            <w:textDirection w:val="lrTb"/>
            <w:noWrap w:val="false"/>
          </w:tcPr>
          <w:p>
            <w:pPr>
              <w:pStyle w:val="903"/>
              <w:jc w:val="center"/>
              <w:rPr>
                <w:color w:val="000000"/>
              </w:rPr>
            </w:pPr>
            <w:r>
              <w:rPr>
                <w:color w:val="000000"/>
              </w:rPr>
              <w:t xml:space="preserve">省级核心节点（1个）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0" w:type="dxa"/>
            <w:vAlign w:val="center"/>
            <w:textDirection w:val="lrTb"/>
            <w:noWrap w:val="false"/>
          </w:tcPr>
          <w:p>
            <w:pPr>
              <w:pStyle w:val="903"/>
              <w:jc w:val="center"/>
              <w:rPr>
                <w:color w:val="000000"/>
              </w:rPr>
            </w:pPr>
            <w:r>
              <w:rPr>
                <w:color w:val="000000"/>
              </w:rPr>
              <w:t xml:space="preserve">SD-WAN分支管理软件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tcPr>
          <w:p>
            <w:pPr>
              <w:pStyle w:val="903"/>
              <w:jc w:val="center"/>
              <w:rPr>
                <w:color w:val="000000"/>
              </w:rPr>
            </w:pPr>
            <w:r>
              <w:rPr>
                <w:color w:val="000000"/>
              </w:rPr>
              <w:t xml:space="preserve">详见技术指标要求</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tcPr>
          <w:p>
            <w:pPr>
              <w:pStyle w:val="903"/>
              <w:jc w:val="center"/>
              <w:rPr>
                <w:color w:val="000000"/>
              </w:rPr>
            </w:pPr>
            <w:r>
              <w:rPr>
                <w:color w:val="000000"/>
              </w:rPr>
              <w:t xml:space="preserve">1</w:t>
            </w:r>
            <w:r/>
          </w:p>
        </w:tc>
        <w:tc>
          <w:tcPr>
            <w:tcBorders>
              <w:top w:val="single" w:color="000000" w:sz="4" w:space="0"/>
              <w:left w:val="single" w:color="000000" w:sz="4" w:space="0"/>
              <w:bottom w:val="single" w:color="000000" w:sz="4" w:space="0"/>
              <w:right w:val="single" w:color="000000" w:sz="4" w:space="0"/>
            </w:tcBorders>
            <w:tcW w:w="1287" w:type="dxa"/>
            <w:vAlign w:val="top"/>
            <w:textDirection w:val="lrTb"/>
            <w:noWrap w:val="false"/>
          </w:tcPr>
          <w:p>
            <w:pPr>
              <w:pStyle w:val="903"/>
              <w:jc w:val="center"/>
              <w:rPr>
                <w:color w:val="000000"/>
              </w:rPr>
            </w:pPr>
            <w:r>
              <w:rPr>
                <w:color w:val="000000"/>
              </w:rPr>
            </w:r>
            <w:r/>
          </w:p>
        </w:tc>
      </w:tr>
      <w:tr>
        <w:trPr>
          <w:cantSplit/>
          <w:trHeight w:val="288"/>
        </w:trPr>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1416" w:type="dxa"/>
            <w:vAlign w:val="center"/>
            <w:vMerge w:val="continue"/>
            <w:textDirection w:val="lrTb"/>
            <w:noWrap w:val="false"/>
          </w:tcPr>
          <w:p>
            <w:pPr>
              <w:pStyle w:val="903"/>
              <w:jc w:val="cente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0" w:type="dxa"/>
            <w:vAlign w:val="center"/>
            <w:textDirection w:val="lrTb"/>
            <w:noWrap w:val="false"/>
          </w:tcPr>
          <w:p>
            <w:pPr>
              <w:pStyle w:val="903"/>
              <w:jc w:val="center"/>
              <w:rPr>
                <w:color w:val="000000"/>
              </w:rPr>
            </w:pPr>
            <w:r>
              <w:rPr>
                <w:color w:val="000000"/>
              </w:rPr>
              <w:t xml:space="preserve">SD-WAN分支承载服务器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tcPr>
          <w:p>
            <w:pPr>
              <w:pStyle w:val="903"/>
              <w:jc w:val="center"/>
              <w:rPr>
                <w:color w:val="000000"/>
              </w:rPr>
            </w:pPr>
            <w:r>
              <w:rPr>
                <w:color w:val="000000"/>
              </w:rPr>
              <w:t xml:space="preserve">详见技术指标要求</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tcPr>
          <w:p>
            <w:pPr>
              <w:pStyle w:val="903"/>
              <w:jc w:val="center"/>
              <w:rPr>
                <w:color w:val="000000"/>
              </w:rPr>
            </w:pPr>
            <w:r>
              <w:rPr>
                <w:color w:val="000000"/>
              </w:rPr>
              <w:t xml:space="preserve">3</w:t>
            </w:r>
            <w:r/>
          </w:p>
        </w:tc>
        <w:tc>
          <w:tcPr>
            <w:tcBorders>
              <w:top w:val="single" w:color="000000" w:sz="4" w:space="0"/>
              <w:left w:val="single" w:color="000000" w:sz="4" w:space="0"/>
              <w:bottom w:val="single" w:color="000000" w:sz="4" w:space="0"/>
              <w:right w:val="single" w:color="000000" w:sz="4" w:space="0"/>
            </w:tcBorders>
            <w:tcW w:w="1287" w:type="dxa"/>
            <w:vAlign w:val="top"/>
            <w:textDirection w:val="lrTb"/>
            <w:noWrap w:val="false"/>
          </w:tcPr>
          <w:p>
            <w:pPr>
              <w:pStyle w:val="903"/>
              <w:jc w:val="center"/>
              <w:rPr>
                <w:color w:val="000000"/>
              </w:rPr>
            </w:pPr>
            <w:r>
              <w:rPr>
                <w:color w:val="000000"/>
              </w:rPr>
            </w:r>
            <w:r/>
          </w:p>
        </w:tc>
      </w:tr>
      <w:tr>
        <w:trPr>
          <w:cantSplit/>
          <w:trHeight w:val="90"/>
        </w:trPr>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1416" w:type="dxa"/>
            <w:vAlign w:val="center"/>
            <w:vMerge w:val="continue"/>
            <w:textDirection w:val="lrTb"/>
            <w:noWrap w:val="false"/>
          </w:tcPr>
          <w:p>
            <w:pPr>
              <w:pStyle w:val="903"/>
              <w:jc w:val="cente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0" w:type="dxa"/>
            <w:vAlign w:val="center"/>
            <w:textDirection w:val="lrTb"/>
            <w:noWrap w:val="false"/>
          </w:tcPr>
          <w:p>
            <w:pPr>
              <w:pStyle w:val="903"/>
              <w:jc w:val="center"/>
              <w:rPr>
                <w:color w:val="000000"/>
              </w:rPr>
            </w:pPr>
            <w:r>
              <w:rPr>
                <w:color w:val="000000"/>
              </w:rPr>
              <w:t xml:space="preserve">省级广域网承载点出口路由器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tcPr>
          <w:p>
            <w:pPr>
              <w:pStyle w:val="903"/>
              <w:jc w:val="center"/>
              <w:rPr>
                <w:color w:val="000000"/>
              </w:rPr>
            </w:pPr>
            <w:r>
              <w:rPr>
                <w:color w:val="000000"/>
              </w:rPr>
              <w:t xml:space="preserve">详见技术指标要求</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tcPr>
          <w:p>
            <w:pPr>
              <w:pStyle w:val="903"/>
              <w:jc w:val="center"/>
              <w:rPr>
                <w:color w:val="000000"/>
              </w:rPr>
            </w:pPr>
            <w:r>
              <w:rPr>
                <w:color w:val="000000"/>
              </w:rPr>
              <w:t xml:space="preserve">2</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903"/>
              <w:jc w:val="center"/>
              <w:rPr>
                <w:color w:val="000000"/>
              </w:rPr>
            </w:pPr>
            <w:r>
              <w:rPr>
                <w:color w:val="000000"/>
              </w:rPr>
            </w:r>
            <w:r/>
          </w:p>
        </w:tc>
      </w:tr>
      <w:tr>
        <w:trPr>
          <w:cantSplit/>
          <w:trHeight w:val="90"/>
        </w:trPr>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1416" w:type="dxa"/>
            <w:vAlign w:val="center"/>
            <w:vMerge w:val="continue"/>
            <w:textDirection w:val="lrTb"/>
            <w:noWrap w:val="false"/>
          </w:tcPr>
          <w:p>
            <w:pPr>
              <w:pStyle w:val="903"/>
              <w:jc w:val="cente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0" w:type="dxa"/>
            <w:vAlign w:val="center"/>
            <w:textDirection w:val="lrTb"/>
            <w:noWrap/>
          </w:tcPr>
          <w:p>
            <w:pPr>
              <w:pStyle w:val="903"/>
              <w:jc w:val="center"/>
              <w:rPr>
                <w:color w:val="000000"/>
              </w:rPr>
            </w:pPr>
            <w:r>
              <w:rPr>
                <w:color w:val="000000"/>
              </w:rPr>
              <w:t xml:space="preserve">省级防火墙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tcPr>
          <w:p>
            <w:pPr>
              <w:pStyle w:val="903"/>
              <w:jc w:val="center"/>
              <w:rPr>
                <w:color w:val="000000"/>
              </w:rPr>
            </w:pPr>
            <w:r>
              <w:rPr>
                <w:color w:val="000000"/>
              </w:rPr>
              <w:t xml:space="preserve">详见技术指标要求</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tcPr>
          <w:p>
            <w:pPr>
              <w:pStyle w:val="903"/>
              <w:jc w:val="center"/>
              <w:rPr>
                <w:color w:val="000000"/>
              </w:rPr>
            </w:pPr>
            <w:r>
              <w:rPr>
                <w:color w:val="000000"/>
              </w:rPr>
              <w:t xml:space="preserve">2</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903"/>
              <w:jc w:val="center"/>
              <w:rPr>
                <w:color w:val="000000"/>
                <w:lang w:eastAsia="en-US"/>
              </w:rPr>
            </w:pPr>
            <w:r>
              <w:rPr>
                <w:color w:val="000000"/>
                <w:lang w:eastAsia="en-US"/>
              </w:rPr>
            </w:r>
            <w:r/>
          </w:p>
        </w:tc>
      </w:tr>
      <w:tr>
        <w:trPr>
          <w:cantSplit/>
          <w:trHeight w:val="288"/>
        </w:trPr>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1416" w:type="dxa"/>
            <w:vAlign w:val="center"/>
            <w:vMerge w:val="continue"/>
            <w:textDirection w:val="lrTb"/>
            <w:noWrap w:val="false"/>
          </w:tcPr>
          <w:p>
            <w:pPr>
              <w:pStyle w:val="903"/>
              <w:jc w:val="cente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0" w:type="dxa"/>
            <w:vAlign w:val="center"/>
            <w:textDirection w:val="lrTb"/>
            <w:noWrap/>
          </w:tcPr>
          <w:p>
            <w:pPr>
              <w:pStyle w:val="903"/>
              <w:jc w:val="center"/>
              <w:rPr>
                <w:color w:val="000000"/>
              </w:rPr>
            </w:pPr>
            <w:r>
              <w:rPr>
                <w:color w:val="000000"/>
              </w:rPr>
              <w:t xml:space="preserve">漏洞扫描</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tcPr>
          <w:p>
            <w:pPr>
              <w:pStyle w:val="903"/>
              <w:jc w:val="center"/>
              <w:rPr>
                <w:color w:val="000000"/>
              </w:rPr>
            </w:pPr>
            <w:r>
              <w:rPr>
                <w:color w:val="000000"/>
              </w:rPr>
              <w:t xml:space="preserve">详见技术指标要求</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tcPr>
          <w:p>
            <w:pPr>
              <w:pStyle w:val="903"/>
              <w:jc w:val="center"/>
              <w:rPr>
                <w:color w:val="000000"/>
              </w:rPr>
            </w:pPr>
            <w:r>
              <w:rPr>
                <w:color w:val="000000"/>
              </w:rPr>
              <w:t xml:space="preserve">1</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903"/>
              <w:jc w:val="center"/>
              <w:rPr>
                <w:color w:val="000000"/>
                <w:lang w:eastAsia="en-US"/>
              </w:rPr>
            </w:pPr>
            <w:r>
              <w:rPr>
                <w:color w:val="000000"/>
                <w:lang w:eastAsia="en-US"/>
              </w:rPr>
            </w:r>
            <w:r/>
          </w:p>
        </w:tc>
      </w:tr>
      <w:tr>
        <w:trPr>
          <w:cantSplit/>
          <w:trHeight w:val="288"/>
        </w:trPr>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1416" w:type="dxa"/>
            <w:vAlign w:val="center"/>
            <w:vMerge w:val="continue"/>
            <w:textDirection w:val="lrTb"/>
            <w:noWrap w:val="false"/>
          </w:tcPr>
          <w:p>
            <w:pPr>
              <w:pStyle w:val="903"/>
              <w:jc w:val="cente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0" w:type="dxa"/>
            <w:vAlign w:val="center"/>
            <w:textDirection w:val="lrTb"/>
            <w:noWrap/>
          </w:tcPr>
          <w:p>
            <w:pPr>
              <w:pStyle w:val="903"/>
              <w:jc w:val="center"/>
              <w:rPr>
                <w:color w:val="000000"/>
              </w:rPr>
            </w:pPr>
            <w:r>
              <w:rPr>
                <w:color w:val="000000"/>
              </w:rPr>
              <w:t xml:space="preserve">网络安全审查</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tcPr>
          <w:p>
            <w:pPr>
              <w:pStyle w:val="903"/>
              <w:jc w:val="center"/>
              <w:rPr>
                <w:color w:val="000000"/>
              </w:rPr>
            </w:pPr>
            <w:r>
              <w:rPr>
                <w:color w:val="000000"/>
              </w:rPr>
              <w:t xml:space="preserve">详见技术指标要求</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tcPr>
          <w:p>
            <w:pPr>
              <w:pStyle w:val="903"/>
              <w:jc w:val="center"/>
              <w:rPr>
                <w:color w:val="000000"/>
              </w:rPr>
            </w:pPr>
            <w:r>
              <w:rPr>
                <w:color w:val="000000"/>
              </w:rPr>
              <w:t xml:space="preserve">1</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903"/>
              <w:jc w:val="center"/>
              <w:rPr>
                <w:color w:val="000000"/>
                <w:lang w:eastAsia="en-US"/>
              </w:rPr>
            </w:pPr>
            <w:r>
              <w:rPr>
                <w:color w:val="000000"/>
                <w:lang w:eastAsia="en-US"/>
              </w:rPr>
            </w:r>
            <w:r/>
          </w:p>
        </w:tc>
      </w:tr>
      <w:tr>
        <w:trPr>
          <w:cantSplit/>
          <w:trHeight w:val="288"/>
        </w:trPr>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1416" w:type="dxa"/>
            <w:vAlign w:val="center"/>
            <w:vMerge w:val="continue"/>
            <w:textDirection w:val="lrTb"/>
            <w:noWrap w:val="false"/>
          </w:tcPr>
          <w:p>
            <w:pPr>
              <w:pStyle w:val="903"/>
              <w:jc w:val="cente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0" w:type="dxa"/>
            <w:vAlign w:val="center"/>
            <w:textDirection w:val="lrTb"/>
            <w:noWrap/>
          </w:tcPr>
          <w:p>
            <w:pPr>
              <w:pStyle w:val="903"/>
              <w:jc w:val="center"/>
              <w:rPr>
                <w:color w:val="000000"/>
              </w:rPr>
            </w:pPr>
            <w:r>
              <w:rPr>
                <w:color w:val="000000"/>
              </w:rPr>
              <w:t xml:space="preserve">日志审计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tcPr>
          <w:p>
            <w:pPr>
              <w:pStyle w:val="903"/>
              <w:jc w:val="center"/>
              <w:rPr>
                <w:color w:val="000000"/>
              </w:rPr>
            </w:pPr>
            <w:r>
              <w:rPr>
                <w:color w:val="000000"/>
              </w:rPr>
              <w:t xml:space="preserve">详见技术指标要求</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tcPr>
          <w:p>
            <w:pPr>
              <w:pStyle w:val="903"/>
              <w:jc w:val="center"/>
              <w:rPr>
                <w:color w:val="000000"/>
              </w:rPr>
            </w:pPr>
            <w:r>
              <w:rPr>
                <w:color w:val="000000"/>
              </w:rPr>
              <w:t xml:space="preserve">1</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903"/>
              <w:jc w:val="center"/>
              <w:rPr>
                <w:color w:val="000000"/>
                <w:lang w:eastAsia="en-US"/>
              </w:rPr>
            </w:pPr>
            <w:r>
              <w:rPr>
                <w:color w:val="000000"/>
                <w:lang w:eastAsia="en-US"/>
              </w:rPr>
            </w:r>
            <w:r/>
          </w:p>
        </w:tc>
      </w:tr>
      <w:tr>
        <w:trPr>
          <w:cantSplit/>
          <w:trHeight w:val="288"/>
        </w:trPr>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1416" w:type="dxa"/>
            <w:vAlign w:val="center"/>
            <w:vMerge w:val="restart"/>
            <w:textDirection w:val="lrTb"/>
            <w:noWrap w:val="false"/>
          </w:tcPr>
          <w:p>
            <w:pPr>
              <w:pStyle w:val="903"/>
              <w:jc w:val="center"/>
              <w:rPr>
                <w:color w:val="000000"/>
              </w:rPr>
            </w:pPr>
            <w:r>
              <w:rPr>
                <w:color w:val="000000"/>
              </w:rPr>
              <w:t xml:space="preserve">市级节点（13个）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0" w:type="dxa"/>
            <w:vAlign w:val="center"/>
            <w:textDirection w:val="lrTb"/>
            <w:noWrap/>
          </w:tcPr>
          <w:p>
            <w:pPr>
              <w:pStyle w:val="903"/>
              <w:jc w:val="center"/>
              <w:rPr>
                <w:color w:val="000000"/>
              </w:rPr>
            </w:pPr>
            <w:r>
              <w:rPr>
                <w:color w:val="000000"/>
              </w:rPr>
              <w:t xml:space="preserve">市级广域网承载点出口路由器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tcPr>
          <w:p>
            <w:pPr>
              <w:pStyle w:val="903"/>
              <w:jc w:val="center"/>
              <w:rPr>
                <w:color w:val="000000"/>
              </w:rPr>
            </w:pPr>
            <w:r>
              <w:rPr>
                <w:color w:val="000000"/>
              </w:rPr>
              <w:t xml:space="preserve">详见技术指标要求</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tcPr>
          <w:p>
            <w:pPr>
              <w:pStyle w:val="903"/>
              <w:jc w:val="center"/>
              <w:rPr>
                <w:color w:val="000000"/>
              </w:rPr>
            </w:pPr>
            <w:r>
              <w:rPr>
                <w:color w:val="000000"/>
              </w:rPr>
              <w:t xml:space="preserve">13</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903"/>
              <w:jc w:val="center"/>
              <w:rPr>
                <w:color w:val="000000"/>
                <w:lang w:eastAsia="en-US"/>
              </w:rPr>
            </w:pPr>
            <w:r>
              <w:rPr>
                <w:color w:val="000000"/>
                <w:lang w:eastAsia="en-US"/>
              </w:rPr>
            </w:r>
            <w:r/>
          </w:p>
        </w:tc>
      </w:tr>
      <w:tr>
        <w:trPr>
          <w:cantSplit/>
          <w:trHeight w:val="90"/>
        </w:trPr>
        <w:tc>
          <w:tcPr>
            <w:tcBorders>
              <w:top w:val="single" w:color="000000" w:sz="4" w:space="0"/>
              <w:left w:val="single" w:color="000000" w:sz="4" w:space="0"/>
              <w:bottom w:val="none" w:color="000000" w:sz="4" w:space="0"/>
              <w:right w:val="single" w:color="000000" w:sz="4" w:space="0"/>
            </w:tcBorders>
            <w:tcMar>
              <w:left w:w="12" w:type="dxa"/>
              <w:top w:w="12" w:type="dxa"/>
              <w:right w:w="12" w:type="dxa"/>
            </w:tcMar>
            <w:tcW w:w="1416" w:type="dxa"/>
            <w:vAlign w:val="center"/>
            <w:vMerge w:val="continue"/>
            <w:textDirection w:val="lrTb"/>
            <w:noWrap w:val="false"/>
          </w:tcPr>
          <w:p>
            <w:pPr>
              <w:pStyle w:val="903"/>
              <w:jc w:val="cente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0" w:type="dxa"/>
            <w:vAlign w:val="center"/>
            <w:textDirection w:val="lrTb"/>
            <w:noWrap/>
          </w:tcPr>
          <w:p>
            <w:pPr>
              <w:pStyle w:val="903"/>
              <w:jc w:val="center"/>
              <w:rPr>
                <w:color w:val="000000"/>
              </w:rPr>
            </w:pPr>
            <w:r>
              <w:rPr>
                <w:color w:val="000000"/>
              </w:rPr>
              <w:t xml:space="preserve">市级防火墙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tcPr>
          <w:p>
            <w:pPr>
              <w:pStyle w:val="903"/>
              <w:jc w:val="center"/>
              <w:rPr>
                <w:color w:val="000000"/>
              </w:rPr>
            </w:pPr>
            <w:r>
              <w:rPr>
                <w:color w:val="000000"/>
              </w:rPr>
              <w:t xml:space="preserve">详见技术指标要求</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tcPr>
          <w:p>
            <w:pPr>
              <w:pStyle w:val="903"/>
              <w:jc w:val="center"/>
              <w:rPr>
                <w:color w:val="000000"/>
              </w:rPr>
            </w:pPr>
            <w:r>
              <w:rPr>
                <w:color w:val="000000"/>
              </w:rPr>
              <w:t xml:space="preserve">13</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903"/>
              <w:jc w:val="center"/>
              <w:rPr>
                <w:color w:val="000000"/>
                <w:lang w:eastAsia="en-US"/>
              </w:rPr>
            </w:pPr>
            <w:r>
              <w:rPr>
                <w:color w:val="000000"/>
                <w:lang w:eastAsia="en-US"/>
              </w:rPr>
            </w:r>
            <w:r/>
          </w:p>
        </w:tc>
      </w:tr>
      <w:tr>
        <w:trPr>
          <w:cantSplit/>
          <w:trHeight w:val="19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16" w:type="dxa"/>
            <w:vAlign w:val="center"/>
            <w:vMerge w:val="restart"/>
            <w:textDirection w:val="lrTb"/>
            <w:noWrap w:val="false"/>
          </w:tcPr>
          <w:p>
            <w:pPr>
              <w:pStyle w:val="903"/>
              <w:jc w:val="center"/>
              <w:rPr>
                <w:color w:val="000000"/>
              </w:rPr>
            </w:pPr>
            <w:r>
              <w:rPr>
                <w:color w:val="000000"/>
              </w:rPr>
              <w:t xml:space="preserve">区县级节点（120个）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0" w:type="dxa"/>
            <w:vAlign w:val="center"/>
            <w:textDirection w:val="lrTb"/>
            <w:noWrap/>
          </w:tcPr>
          <w:p>
            <w:pPr>
              <w:pStyle w:val="903"/>
              <w:jc w:val="center"/>
              <w:rPr>
                <w:color w:val="000000"/>
              </w:rPr>
            </w:pPr>
            <w:r>
              <w:rPr>
                <w:color w:val="000000"/>
              </w:rPr>
              <w:t xml:space="preserve">区县路由交换机一体机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tcPr>
          <w:p>
            <w:pPr>
              <w:pStyle w:val="903"/>
              <w:jc w:val="center"/>
              <w:rPr>
                <w:color w:val="000000"/>
              </w:rPr>
            </w:pPr>
            <w:r>
              <w:rPr>
                <w:color w:val="000000"/>
              </w:rPr>
              <w:t xml:space="preserve">详见技术指标要求</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tcPr>
          <w:p>
            <w:pPr>
              <w:pStyle w:val="903"/>
              <w:jc w:val="center"/>
              <w:rPr>
                <w:color w:val="000000"/>
              </w:rPr>
            </w:pPr>
            <w:r>
              <w:rPr>
                <w:color w:val="000000"/>
              </w:rPr>
              <w:t xml:space="preserve">120</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903"/>
              <w:jc w:val="center"/>
              <w:rPr>
                <w:color w:val="000000"/>
                <w:lang w:eastAsia="en-US"/>
              </w:rPr>
            </w:pPr>
            <w:r>
              <w:rPr>
                <w:color w:val="000000"/>
                <w:lang w:eastAsia="en-US"/>
              </w:rPr>
            </w:r>
            <w:r/>
          </w:p>
        </w:tc>
      </w:tr>
      <w:tr>
        <w:trPr>
          <w:cantSplit/>
          <w:trHeight w:val="28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16" w:type="dxa"/>
            <w:vAlign w:val="center"/>
            <w:vMerge w:val="continue"/>
            <w:textDirection w:val="lrTb"/>
            <w:noWrap w:val="false"/>
          </w:tcPr>
          <w:p>
            <w:pPr>
              <w:pStyle w:val="903"/>
              <w:jc w:val="cente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30" w:type="dxa"/>
            <w:vAlign w:val="center"/>
            <w:textDirection w:val="lrTb"/>
            <w:noWrap w:val="false"/>
          </w:tcPr>
          <w:p>
            <w:pPr>
              <w:pStyle w:val="903"/>
              <w:jc w:val="center"/>
              <w:rPr>
                <w:color w:val="000000"/>
              </w:rPr>
            </w:pPr>
            <w:r>
              <w:rPr>
                <w:color w:val="000000"/>
              </w:rPr>
              <w:t xml:space="preserve">区县级防火墙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04" w:type="dxa"/>
            <w:vAlign w:val="center"/>
            <w:textDirection w:val="lrTb"/>
            <w:noWrap/>
          </w:tcPr>
          <w:p>
            <w:pPr>
              <w:pStyle w:val="903"/>
              <w:jc w:val="center"/>
              <w:rPr>
                <w:color w:val="000000"/>
              </w:rPr>
            </w:pPr>
            <w:r>
              <w:rPr>
                <w:color w:val="000000"/>
              </w:rPr>
              <w:t xml:space="preserve">详见技术指标要求</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72" w:type="dxa"/>
            <w:vAlign w:val="center"/>
            <w:textDirection w:val="lrTb"/>
            <w:noWrap/>
          </w:tcPr>
          <w:p>
            <w:pPr>
              <w:pStyle w:val="903"/>
              <w:jc w:val="center"/>
              <w:rPr>
                <w:color w:val="000000"/>
              </w:rPr>
            </w:pPr>
            <w:r>
              <w:rPr>
                <w:color w:val="000000"/>
              </w:rPr>
              <w:t xml:space="preserve">120</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903"/>
              <w:jc w:val="center"/>
              <w:rPr>
                <w:color w:val="000000"/>
                <w:lang w:eastAsia="en-US"/>
              </w:rPr>
            </w:pPr>
            <w:r>
              <w:rPr>
                <w:color w:val="000000"/>
                <w:lang w:eastAsia="en-US"/>
              </w:rPr>
            </w:r>
            <w:r/>
          </w:p>
        </w:tc>
      </w:tr>
    </w:tbl>
    <w:p>
      <w:pPr>
        <w:pStyle w:val="1025"/>
        <w:ind w:firstLine="482"/>
        <w:rPr>
          <w:rFonts w:ascii="Times New Roman" w:hAnsi="Times New Roman"/>
          <w:b/>
          <w:i/>
          <w:color w:val="000000"/>
          <w:u w:val="single"/>
        </w:rPr>
      </w:pPr>
      <w:r>
        <w:rPr>
          <w:rFonts w:ascii="Times New Roman" w:hAnsi="Times New Roman"/>
          <w:b/>
          <w:i/>
          <w:color w:val="000000"/>
          <w:u w:val="single"/>
        </w:rPr>
        <w:t xml:space="preserve">为方便运维管理，投标人所使用省、市、县路由器必须为同一品牌，所投省、市、县防火墙必须为同一品牌。</w:t>
      </w:r>
      <w:r/>
    </w:p>
    <w:p>
      <w:pPr>
        <w:pStyle w:val="1025"/>
        <w:ind w:firstLine="480"/>
        <w:rPr>
          <w:rFonts w:ascii="Times New Roman" w:hAnsi="Times New Roman"/>
          <w:i/>
          <w:color w:val="000000"/>
          <w:u w:val="single"/>
        </w:rPr>
      </w:pPr>
      <w:r>
        <w:rPr>
          <w:rFonts w:ascii="Times New Roman" w:hAnsi="Times New Roman"/>
          <w:i/>
          <w:color w:val="000000"/>
          <w:u w:val="single"/>
        </w:rPr>
      </w:r>
      <w:r/>
    </w:p>
    <w:p>
      <w:pPr>
        <w:pStyle w:val="903"/>
        <w:rPr>
          <w:color w:val="000000"/>
        </w:rPr>
      </w:pPr>
      <w:r>
        <w:rPr>
          <w:color w:val="000000"/>
        </w:rPr>
        <w:t xml:space="preserve">业务专网技术指标要求</w:t>
      </w:r>
      <w:r/>
    </w:p>
    <w:p>
      <w:pPr>
        <w:pStyle w:val="907"/>
        <w:numPr>
          <w:ilvl w:val="0"/>
          <w:numId w:val="7"/>
        </w:numPr>
        <w:spacing w:before="0" w:after="0" w:line="360" w:lineRule="auto"/>
        <w:rPr>
          <w:rFonts w:ascii="Times New Roman" w:hAnsi="Times New Roman"/>
          <w:color w:val="000000"/>
        </w:rPr>
      </w:pPr>
      <w:r>
        <w:rPr>
          <w:rFonts w:ascii="Times New Roman" w:hAnsi="Times New Roman"/>
          <w:color w:val="000000"/>
        </w:rPr>
        <w:t xml:space="preserve">SD-WAN分支管理软件</w:t>
      </w:r>
      <w:r/>
    </w:p>
    <w:tbl>
      <w:tblPr>
        <w:tblW w:w="80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26"/>
        <w:gridCol w:w="6389"/>
      </w:tblGrid>
      <w:tr>
        <w:trPr>
          <w:trHeight w:val="20"/>
        </w:trPr>
        <w:tc>
          <w:tcPr>
            <w:shd w:val="clear" w:color="auto" w:fill="ffffff"/>
            <w:tcMar>
              <w:left w:w="108" w:type="dxa"/>
              <w:right w:w="108" w:type="dxa"/>
            </w:tcMar>
            <w:tcW w:w="1626" w:type="dxa"/>
            <w:vAlign w:val="center"/>
            <w:textDirection w:val="lrTb"/>
            <w:noWrap w:val="false"/>
          </w:tcPr>
          <w:p>
            <w:pPr>
              <w:pStyle w:val="903"/>
              <w:rPr>
                <w:color w:val="000000"/>
              </w:rPr>
            </w:pPr>
            <w:r>
              <w:rPr>
                <w:color w:val="000000"/>
              </w:rPr>
              <w:t xml:space="preserve">技术指标</w:t>
            </w:r>
            <w:r/>
          </w:p>
        </w:tc>
        <w:tc>
          <w:tcPr>
            <w:shd w:val="clear" w:color="auto" w:fill="ffffff"/>
            <w:tcMar>
              <w:left w:w="108" w:type="dxa"/>
              <w:right w:w="108" w:type="dxa"/>
            </w:tcMar>
            <w:tcW w:w="6389" w:type="dxa"/>
            <w:vAlign w:val="center"/>
            <w:textDirection w:val="lrTb"/>
            <w:noWrap w:val="false"/>
          </w:tcPr>
          <w:p>
            <w:pPr>
              <w:pStyle w:val="903"/>
              <w:rPr>
                <w:color w:val="000000"/>
              </w:rPr>
            </w:pPr>
            <w:r>
              <w:rPr>
                <w:color w:val="000000"/>
              </w:rPr>
              <w:t xml:space="preserve">参数要求</w:t>
            </w:r>
            <w:r/>
          </w:p>
        </w:tc>
      </w:tr>
      <w:tr>
        <w:trPr>
          <w:trHeight w:val="1658"/>
        </w:trPr>
        <w:tc>
          <w:tcPr>
            <w:tcMar>
              <w:left w:w="108" w:type="dxa"/>
              <w:right w:w="108" w:type="dxa"/>
            </w:tcMar>
            <w:tcW w:w="1626" w:type="dxa"/>
            <w:vAlign w:val="center"/>
            <w:textDirection w:val="lrTb"/>
            <w:noWrap w:val="false"/>
          </w:tcPr>
          <w:p>
            <w:pPr>
              <w:pStyle w:val="903"/>
              <w:rPr>
                <w:color w:val="000000"/>
              </w:rPr>
            </w:pPr>
            <w:r>
              <w:rPr>
                <w:color w:val="000000"/>
              </w:rPr>
              <w:t xml:space="preserve">系统架构</w:t>
            </w:r>
            <w:r/>
          </w:p>
        </w:tc>
        <w:tc>
          <w:tcPr>
            <w:tcMar>
              <w:left w:w="108" w:type="dxa"/>
              <w:right w:w="108" w:type="dxa"/>
            </w:tcMar>
            <w:tcW w:w="6389" w:type="dxa"/>
            <w:vAlign w:val="center"/>
            <w:textDirection w:val="lrTb"/>
            <w:noWrap w:val="false"/>
          </w:tcPr>
          <w:p>
            <w:pPr>
              <w:pStyle w:val="903"/>
              <w:rPr>
                <w:color w:val="000000"/>
              </w:rPr>
            </w:pPr>
            <w:r>
              <w:rPr>
                <w:color w:val="000000"/>
              </w:rPr>
              <w:t xml:space="preserve">控制器提供GUI界面，可以完成网络配置的图形化配置、编辑和查看展示</w:t>
            </w:r>
            <w:r/>
          </w:p>
          <w:p>
            <w:pPr>
              <w:pStyle w:val="903"/>
              <w:rPr>
                <w:color w:val="000000"/>
              </w:rPr>
            </w:pPr>
            <w:r>
              <w:rPr>
                <w:color w:val="000000"/>
              </w:rPr>
              <w:t xml:space="preserve">控制器支持Restful API北向接口，支持NETCONF、SNMP、SSH等南向接口协议；</w:t>
            </w:r>
            <w:r/>
          </w:p>
          <w:p>
            <w:pPr>
              <w:pStyle w:val="903"/>
              <w:rPr>
                <w:color w:val="000000"/>
              </w:rPr>
            </w:pPr>
            <w:r>
              <w:rPr>
                <w:color w:val="000000"/>
              </w:rPr>
              <w:t xml:space="preserve">具备横向扩展的能力，可满足网络规格的逐步扩展。最大可纳管20000个分支站点</w:t>
            </w:r>
            <w:r/>
          </w:p>
        </w:tc>
      </w:tr>
      <w:tr>
        <w:trPr>
          <w:trHeight w:val="20"/>
        </w:trPr>
        <w:tc>
          <w:tcPr>
            <w:tcMar>
              <w:left w:w="108" w:type="dxa"/>
              <w:right w:w="108" w:type="dxa"/>
            </w:tcMar>
            <w:tcW w:w="1626" w:type="dxa"/>
            <w:vAlign w:val="center"/>
            <w:textDirection w:val="lrTb"/>
            <w:noWrap w:val="false"/>
          </w:tcPr>
          <w:p>
            <w:pPr>
              <w:pStyle w:val="903"/>
              <w:rPr>
                <w:color w:val="000000"/>
              </w:rPr>
            </w:pPr>
            <w:r>
              <w:rPr>
                <w:color w:val="000000"/>
              </w:rPr>
              <w:t xml:space="preserve">零配置开局</w:t>
            </w:r>
            <w:r/>
          </w:p>
        </w:tc>
        <w:tc>
          <w:tcPr>
            <w:tcMar>
              <w:left w:w="108" w:type="dxa"/>
              <w:right w:w="108" w:type="dxa"/>
            </w:tcMar>
            <w:tcW w:w="6389" w:type="dxa"/>
            <w:vAlign w:val="center"/>
            <w:textDirection w:val="lrTb"/>
            <w:noWrap w:val="false"/>
          </w:tcPr>
          <w:p>
            <w:pPr>
              <w:pStyle w:val="903"/>
              <w:rPr>
                <w:color w:val="000000"/>
              </w:rPr>
            </w:pPr>
            <w:r>
              <w:rPr>
                <w:color w:val="000000"/>
              </w:rPr>
              <w:t xml:space="preserve">分支站点设备支持U盘开局方式注册到控制器、分支站点设备支持URL开局方式注册到控制器、分支站点设备支持基于公有云方式注册到控制器</w:t>
            </w:r>
            <w:r/>
          </w:p>
        </w:tc>
      </w:tr>
      <w:tr>
        <w:trPr>
          <w:trHeight w:val="1648"/>
        </w:trPr>
        <w:tc>
          <w:tcPr>
            <w:tcMar>
              <w:left w:w="108" w:type="dxa"/>
              <w:right w:w="108" w:type="dxa"/>
            </w:tcMar>
            <w:tcW w:w="1626" w:type="dxa"/>
            <w:vAlign w:val="center"/>
            <w:textDirection w:val="lrTb"/>
            <w:noWrap w:val="false"/>
          </w:tcPr>
          <w:p>
            <w:pPr>
              <w:pStyle w:val="903"/>
              <w:rPr>
                <w:color w:val="000000"/>
              </w:rPr>
            </w:pPr>
            <w:r>
              <w:rPr>
                <w:color w:val="000000"/>
              </w:rPr>
              <w:t xml:space="preserve">业务网络部署</w:t>
            </w:r>
            <w:r/>
          </w:p>
        </w:tc>
        <w:tc>
          <w:tcPr>
            <w:tcMar>
              <w:left w:w="108" w:type="dxa"/>
              <w:right w:w="108" w:type="dxa"/>
            </w:tcMar>
            <w:tcW w:w="6389" w:type="dxa"/>
            <w:vAlign w:val="center"/>
            <w:textDirection w:val="lrTb"/>
            <w:noWrap w:val="false"/>
          </w:tcPr>
          <w:p>
            <w:pPr>
              <w:pStyle w:val="903"/>
              <w:rPr>
                <w:color w:val="000000"/>
              </w:rPr>
            </w:pPr>
            <w:r>
              <w:rPr>
                <w:color w:val="000000"/>
              </w:rPr>
              <w:t xml:space="preserve">支持分支设备LAN侧业务自动部署：包括DHCP Server、网关配置、VLAN指定、接口绑定</w:t>
            </w:r>
            <w:r/>
          </w:p>
          <w:p>
            <w:pPr>
              <w:pStyle w:val="903"/>
              <w:rPr>
                <w:color w:val="000000"/>
              </w:rPr>
            </w:pPr>
            <w:r>
              <w:rPr>
                <w:color w:val="000000"/>
              </w:rPr>
              <w:t xml:space="preserve">支持为分支站点创建多个LAN网络，指定不同网关并限制每个LAN网络最大接入终端数量。支持用户手工指定及控制器自动方式为LAN网络分配地址段</w:t>
            </w:r>
            <w:r/>
          </w:p>
          <w:p>
            <w:pPr>
              <w:pStyle w:val="903"/>
              <w:rPr>
                <w:color w:val="000000"/>
              </w:rPr>
            </w:pPr>
            <w:r>
              <w:rPr>
                <w:color w:val="000000"/>
              </w:rPr>
              <w:t xml:space="preserve">支持IPSec VPN使用国密算法加密，且支持控制器自动化发下</w:t>
            </w:r>
            <w:r/>
          </w:p>
        </w:tc>
      </w:tr>
      <w:tr>
        <w:trPr>
          <w:trHeight w:val="20"/>
        </w:trPr>
        <w:tc>
          <w:tcPr>
            <w:tcMar>
              <w:left w:w="108" w:type="dxa"/>
              <w:right w:w="108" w:type="dxa"/>
            </w:tcMar>
            <w:tcW w:w="1626" w:type="dxa"/>
            <w:vAlign w:val="center"/>
            <w:textDirection w:val="lrTb"/>
            <w:noWrap w:val="false"/>
          </w:tcPr>
          <w:p>
            <w:pPr>
              <w:pStyle w:val="903"/>
              <w:rPr>
                <w:color w:val="000000"/>
              </w:rPr>
            </w:pPr>
            <w:r>
              <w:rPr>
                <w:color w:val="000000"/>
              </w:rPr>
              <w:t xml:space="preserve">链路状态监控</w:t>
            </w:r>
            <w:r/>
          </w:p>
        </w:tc>
        <w:tc>
          <w:tcPr>
            <w:tcMar>
              <w:left w:w="108" w:type="dxa"/>
              <w:right w:w="108" w:type="dxa"/>
            </w:tcMar>
            <w:tcW w:w="6389" w:type="dxa"/>
            <w:vAlign w:val="top"/>
            <w:textDirection w:val="lrTb"/>
            <w:noWrap w:val="false"/>
          </w:tcPr>
          <w:p>
            <w:pPr>
              <w:pStyle w:val="903"/>
              <w:rPr>
                <w:color w:val="000000"/>
              </w:rPr>
            </w:pPr>
            <w:r>
              <w:rPr>
                <w:color w:val="000000"/>
              </w:rPr>
              <w:t xml:space="preserve">支持列表查看分支广域网链路详细信息，如：隧道对端地址，IPSEC加密算法和认证方式，出接口等信息；支持监控每个隧道的网络质量情况，如：延迟、抖动、丢包率等</w:t>
            </w:r>
            <w:r/>
          </w:p>
        </w:tc>
      </w:tr>
      <w:tr>
        <w:trPr>
          <w:trHeight w:val="20"/>
        </w:trPr>
        <w:tc>
          <w:tcPr>
            <w:tcMar>
              <w:left w:w="108" w:type="dxa"/>
              <w:right w:w="108" w:type="dxa"/>
            </w:tcMar>
            <w:tcW w:w="1626" w:type="dxa"/>
            <w:vAlign w:val="center"/>
            <w:textDirection w:val="lrTb"/>
            <w:noWrap w:val="false"/>
          </w:tcPr>
          <w:p>
            <w:pPr>
              <w:pStyle w:val="903"/>
              <w:rPr>
                <w:color w:val="000000"/>
              </w:rPr>
            </w:pPr>
            <w:r>
              <w:rPr>
                <w:color w:val="000000"/>
              </w:rPr>
              <w:t xml:space="preserve">QoS业务自动化部署</w:t>
            </w:r>
            <w:r/>
          </w:p>
        </w:tc>
        <w:tc>
          <w:tcPr>
            <w:tcMar>
              <w:left w:w="108" w:type="dxa"/>
              <w:right w:w="108" w:type="dxa"/>
            </w:tcMar>
            <w:tcW w:w="6389" w:type="dxa"/>
            <w:vAlign w:val="center"/>
            <w:textDirection w:val="lrTb"/>
            <w:noWrap w:val="false"/>
          </w:tcPr>
          <w:p>
            <w:pPr>
              <w:pStyle w:val="903"/>
              <w:rPr>
                <w:color w:val="000000"/>
              </w:rPr>
            </w:pPr>
            <w:r>
              <w:rPr>
                <w:color w:val="000000"/>
              </w:rPr>
              <w:t xml:space="preserve">支持应用保障：基于业务视角设置应用优先级，进行出口流量队列调度和带宽保障</w:t>
            </w:r>
            <w:r/>
          </w:p>
          <w:p>
            <w:pPr>
              <w:pStyle w:val="903"/>
              <w:rPr>
                <w:color w:val="000000"/>
              </w:rPr>
            </w:pPr>
            <w:r>
              <w:rPr>
                <w:color w:val="000000"/>
              </w:rPr>
              <w:t xml:space="preserve">支持应用限速：针对应用LAN侧端口限速</w:t>
            </w:r>
            <w:r/>
          </w:p>
          <w:p>
            <w:pPr>
              <w:pStyle w:val="903"/>
              <w:rPr>
                <w:color w:val="000000"/>
              </w:rPr>
            </w:pPr>
            <w:r>
              <w:rPr>
                <w:color w:val="000000"/>
              </w:rPr>
              <w:t xml:space="preserve">支持接口限速：针对WAN侧端口限速</w:t>
            </w:r>
            <w:r/>
          </w:p>
          <w:p>
            <w:pPr>
              <w:pStyle w:val="903"/>
              <w:rPr>
                <w:color w:val="000000"/>
              </w:rPr>
            </w:pPr>
            <w:r>
              <w:rPr>
                <w:color w:val="000000"/>
              </w:rPr>
              <w:t xml:space="preserve">支持分层QoS</w:t>
            </w:r>
            <w:r/>
          </w:p>
        </w:tc>
      </w:tr>
      <w:tr>
        <w:trPr>
          <w:trHeight w:val="1092"/>
        </w:trPr>
        <w:tc>
          <w:tcPr>
            <w:tcMar>
              <w:left w:w="108" w:type="dxa"/>
              <w:right w:w="108" w:type="dxa"/>
            </w:tcMar>
            <w:tcW w:w="1626" w:type="dxa"/>
            <w:vAlign w:val="center"/>
            <w:textDirection w:val="lrTb"/>
            <w:noWrap w:val="false"/>
          </w:tcPr>
          <w:p>
            <w:pPr>
              <w:pStyle w:val="903"/>
              <w:rPr>
                <w:color w:val="000000"/>
              </w:rPr>
            </w:pPr>
            <w:r>
              <w:rPr>
                <w:color w:val="000000"/>
              </w:rPr>
              <w:t xml:space="preserve">应用流量调度</w:t>
            </w:r>
            <w:r/>
          </w:p>
        </w:tc>
        <w:tc>
          <w:tcPr>
            <w:tcMar>
              <w:left w:w="108" w:type="dxa"/>
              <w:right w:w="108" w:type="dxa"/>
            </w:tcMar>
            <w:tcW w:w="6389" w:type="dxa"/>
            <w:vAlign w:val="center"/>
            <w:textDirection w:val="lrTb"/>
            <w:noWrap w:val="false"/>
          </w:tcPr>
          <w:p>
            <w:pPr>
              <w:pStyle w:val="903"/>
              <w:rPr>
                <w:color w:val="000000"/>
              </w:rPr>
            </w:pPr>
            <w:r>
              <w:rPr>
                <w:color w:val="000000"/>
              </w:rPr>
              <w:t xml:space="preserve">支持通过优选链路来实现出口路径选择</w:t>
            </w:r>
            <w:r/>
          </w:p>
          <w:p>
            <w:pPr>
              <w:pStyle w:val="903"/>
              <w:rPr>
                <w:color w:val="000000"/>
              </w:rPr>
            </w:pPr>
            <w:r>
              <w:rPr>
                <w:color w:val="000000"/>
              </w:rPr>
              <w:t xml:space="preserve">支持根据时间段策略进行选路策略下发</w:t>
            </w:r>
            <w:r/>
          </w:p>
          <w:p>
            <w:pPr>
              <w:pStyle w:val="903"/>
              <w:rPr>
                <w:color w:val="000000"/>
              </w:rPr>
            </w:pPr>
            <w:r>
              <w:rPr>
                <w:color w:val="000000"/>
              </w:rPr>
              <w:t xml:space="preserve">支持按照带宽要求为业务选择路径</w:t>
            </w:r>
            <w:r/>
          </w:p>
          <w:p>
            <w:pPr>
              <w:pStyle w:val="903"/>
              <w:rPr>
                <w:color w:val="000000"/>
              </w:rPr>
            </w:pPr>
            <w:r>
              <w:rPr>
                <w:color w:val="000000"/>
              </w:rPr>
              <w:t xml:space="preserve">支持逐包方式将流量负载到多线路上</w:t>
            </w:r>
            <w:r/>
          </w:p>
        </w:tc>
      </w:tr>
      <w:tr>
        <w:trPr>
          <w:trHeight w:val="20"/>
        </w:trPr>
        <w:tc>
          <w:tcPr>
            <w:tcMar>
              <w:left w:w="108" w:type="dxa"/>
              <w:right w:w="108" w:type="dxa"/>
            </w:tcMar>
            <w:tcW w:w="1626" w:type="dxa"/>
            <w:vAlign w:val="center"/>
            <w:textDirection w:val="lrTb"/>
            <w:noWrap w:val="false"/>
          </w:tcPr>
          <w:p>
            <w:pPr>
              <w:pStyle w:val="903"/>
              <w:rPr>
                <w:color w:val="000000"/>
              </w:rPr>
            </w:pPr>
            <w:r>
              <w:rPr>
                <w:color w:val="000000"/>
              </w:rPr>
              <w:t xml:space="preserve">WAN优化</w:t>
            </w:r>
            <w:r/>
          </w:p>
        </w:tc>
        <w:tc>
          <w:tcPr>
            <w:tcMar>
              <w:left w:w="108" w:type="dxa"/>
              <w:right w:w="108" w:type="dxa"/>
            </w:tcMar>
            <w:tcW w:w="6389" w:type="dxa"/>
            <w:vAlign w:val="center"/>
            <w:textDirection w:val="lrTb"/>
            <w:noWrap w:val="false"/>
          </w:tcPr>
          <w:p>
            <w:pPr>
              <w:pStyle w:val="903"/>
              <w:rPr>
                <w:color w:val="000000"/>
              </w:rPr>
            </w:pPr>
            <w:r>
              <w:rPr>
                <w:color w:val="000000"/>
              </w:rPr>
              <w:t xml:space="preserve">支持设备集成TCP协议优化TFO优化</w:t>
            </w:r>
            <w:r/>
          </w:p>
          <w:p>
            <w:pPr>
              <w:pStyle w:val="903"/>
              <w:rPr>
                <w:color w:val="000000"/>
              </w:rPr>
            </w:pPr>
            <w:r>
              <w:rPr>
                <w:color w:val="000000"/>
              </w:rPr>
              <w:t xml:space="preserve">支持设备集成HTTP、HTTPS数据缓存</w:t>
            </w:r>
            <w:r/>
          </w:p>
          <w:p>
            <w:pPr>
              <w:pStyle w:val="903"/>
              <w:rPr>
                <w:color w:val="000000"/>
              </w:rPr>
            </w:pPr>
            <w:r>
              <w:rPr>
                <w:color w:val="000000"/>
              </w:rPr>
              <w:t xml:space="preserve">支持设备集成前向冗余对视频应用的优化，最高丢包20%不花屏</w:t>
            </w:r>
            <w:r/>
          </w:p>
          <w:p>
            <w:pPr>
              <w:pStyle w:val="903"/>
              <w:rPr>
                <w:color w:val="000000"/>
              </w:rPr>
            </w:pPr>
            <w:r>
              <w:rPr>
                <w:color w:val="000000"/>
              </w:rPr>
              <w:t xml:space="preserve">支持通过逐包转发方式，达到链路带宽叠加的效果</w:t>
            </w:r>
            <w:r/>
          </w:p>
        </w:tc>
      </w:tr>
      <w:tr>
        <w:trPr>
          <w:trHeight w:val="20"/>
        </w:trPr>
        <w:tc>
          <w:tcPr>
            <w:tcMar>
              <w:left w:w="108" w:type="dxa"/>
              <w:right w:w="108" w:type="dxa"/>
            </w:tcMar>
            <w:tcW w:w="1626" w:type="dxa"/>
            <w:vAlign w:val="center"/>
            <w:textDirection w:val="lrTb"/>
            <w:noWrap w:val="false"/>
          </w:tcPr>
          <w:p>
            <w:pPr>
              <w:pStyle w:val="903"/>
              <w:rPr>
                <w:color w:val="000000"/>
              </w:rPr>
            </w:pPr>
            <w:r>
              <w:rPr>
                <w:color w:val="000000"/>
              </w:rPr>
              <w:t xml:space="preserve">业务可视</w:t>
            </w:r>
            <w:r/>
          </w:p>
        </w:tc>
        <w:tc>
          <w:tcPr>
            <w:tcMar>
              <w:left w:w="108" w:type="dxa"/>
              <w:right w:w="108" w:type="dxa"/>
            </w:tcMar>
            <w:tcW w:w="6389" w:type="dxa"/>
            <w:vAlign w:val="center"/>
            <w:textDirection w:val="lrTb"/>
            <w:noWrap w:val="false"/>
          </w:tcPr>
          <w:p>
            <w:pPr>
              <w:pStyle w:val="903"/>
              <w:rPr>
                <w:color w:val="000000"/>
              </w:rPr>
            </w:pPr>
            <w:r>
              <w:rPr>
                <w:color w:val="000000"/>
              </w:rPr>
              <w:t xml:space="preserve">运维管理页面可以查看到整网链路带宽占用率排行及每链路上具体应用组的实时流量信息，拓扑管理页面可以查看链路上的应用信息，能够显示路径经过该链路的应用组实例带宽</w:t>
            </w:r>
            <w:r/>
          </w:p>
          <w:p>
            <w:pPr>
              <w:pStyle w:val="903"/>
              <w:rPr>
                <w:color w:val="000000"/>
              </w:rPr>
            </w:pPr>
            <w:r>
              <w:rPr>
                <w:color w:val="000000"/>
              </w:rPr>
              <w:t xml:space="preserve">支持查看用户已经定义的流量信息</w:t>
            </w:r>
            <w:r/>
          </w:p>
          <w:p>
            <w:pPr>
              <w:pStyle w:val="903"/>
              <w:rPr>
                <w:color w:val="000000"/>
              </w:rPr>
            </w:pPr>
            <w:r>
              <w:rPr>
                <w:color w:val="000000"/>
              </w:rPr>
              <w:t xml:space="preserve">支持查看所有未定义的流量信息</w:t>
            </w:r>
            <w:r/>
          </w:p>
        </w:tc>
      </w:tr>
      <w:tr>
        <w:trPr>
          <w:trHeight w:val="20"/>
        </w:trPr>
        <w:tc>
          <w:tcPr>
            <w:tcMar>
              <w:left w:w="108" w:type="dxa"/>
              <w:right w:w="108" w:type="dxa"/>
            </w:tcMar>
            <w:tcW w:w="1626" w:type="dxa"/>
            <w:vAlign w:val="center"/>
            <w:textDirection w:val="lrTb"/>
            <w:noWrap w:val="false"/>
          </w:tcPr>
          <w:p>
            <w:pPr>
              <w:pStyle w:val="903"/>
              <w:rPr>
                <w:color w:val="000000"/>
              </w:rPr>
            </w:pPr>
            <w:r>
              <w:rPr>
                <w:color w:val="000000"/>
              </w:rPr>
              <w:t xml:space="preserve">链路可视</w:t>
            </w:r>
            <w:r/>
          </w:p>
        </w:tc>
        <w:tc>
          <w:tcPr>
            <w:tcMar>
              <w:left w:w="108" w:type="dxa"/>
              <w:right w:w="108" w:type="dxa"/>
            </w:tcMar>
            <w:tcW w:w="6389" w:type="dxa"/>
            <w:vAlign w:val="center"/>
            <w:textDirection w:val="lrTb"/>
            <w:noWrap w:val="false"/>
          </w:tcPr>
          <w:p>
            <w:pPr>
              <w:pStyle w:val="903"/>
              <w:rPr>
                <w:color w:val="000000"/>
              </w:rPr>
            </w:pPr>
            <w:r>
              <w:rPr>
                <w:color w:val="000000"/>
              </w:rPr>
              <w:t xml:space="preserve">支持链路质量（延时、抖动、丢包）详细信息的实时呈现，支持秒级呈现</w:t>
            </w:r>
            <w:r/>
          </w:p>
          <w:p>
            <w:pPr>
              <w:pStyle w:val="903"/>
              <w:rPr>
                <w:color w:val="000000"/>
              </w:rPr>
            </w:pPr>
            <w:r>
              <w:rPr>
                <w:color w:val="000000"/>
              </w:rPr>
              <w:t xml:space="preserve">支持对链路的历史质量信息（包括过去1小时、过去1天、过去一周、过去一月）进行统计和呈现</w:t>
            </w:r>
            <w:r/>
          </w:p>
        </w:tc>
      </w:tr>
      <w:tr>
        <w:trPr>
          <w:trHeight w:val="20"/>
        </w:trPr>
        <w:tc>
          <w:tcPr>
            <w:tcMar>
              <w:left w:w="108" w:type="dxa"/>
              <w:right w:w="108" w:type="dxa"/>
            </w:tcMar>
            <w:tcW w:w="1626" w:type="dxa"/>
            <w:vAlign w:val="center"/>
            <w:textDirection w:val="lrTb"/>
            <w:noWrap w:val="false"/>
          </w:tcPr>
          <w:p>
            <w:pPr>
              <w:pStyle w:val="903"/>
              <w:rPr>
                <w:color w:val="000000"/>
              </w:rPr>
            </w:pPr>
            <w:r>
              <w:rPr>
                <w:color w:val="000000"/>
              </w:rPr>
              <w:t xml:space="preserve">应用流量分析</w:t>
            </w:r>
            <w:r/>
          </w:p>
        </w:tc>
        <w:tc>
          <w:tcPr>
            <w:tcMar>
              <w:left w:w="108" w:type="dxa"/>
              <w:right w:w="108" w:type="dxa"/>
            </w:tcMar>
            <w:tcW w:w="6389" w:type="dxa"/>
            <w:vAlign w:val="center"/>
            <w:textDirection w:val="lrTb"/>
            <w:noWrap w:val="false"/>
          </w:tcPr>
          <w:p>
            <w:pPr>
              <w:pStyle w:val="903"/>
              <w:rPr>
                <w:color w:val="000000"/>
              </w:rPr>
            </w:pPr>
            <w:r>
              <w:rPr>
                <w:color w:val="000000"/>
              </w:rPr>
              <w:t xml:space="preserve">支持通过Netstream进行流量分析</w:t>
            </w:r>
            <w:r/>
          </w:p>
          <w:p>
            <w:pPr>
              <w:pStyle w:val="903"/>
              <w:rPr>
                <w:color w:val="000000"/>
              </w:rPr>
            </w:pPr>
            <w:r>
              <w:rPr>
                <w:color w:val="000000"/>
              </w:rPr>
              <w:t xml:space="preserve">支持对某个站点的流量进行分析</w:t>
            </w:r>
            <w:r/>
          </w:p>
          <w:p>
            <w:pPr>
              <w:pStyle w:val="903"/>
              <w:rPr>
                <w:color w:val="000000"/>
              </w:rPr>
            </w:pPr>
            <w:r>
              <w:rPr>
                <w:color w:val="000000"/>
              </w:rPr>
              <w:t xml:space="preserve">支持对NAT会话进行分析，包含IP地址及端口的转换信息、用户的访问信息以及用户的网络流量信息</w:t>
            </w:r>
            <w:r/>
          </w:p>
        </w:tc>
      </w:tr>
      <w:tr>
        <w:trPr>
          <w:trHeight w:val="20"/>
        </w:trPr>
        <w:tc>
          <w:tcPr>
            <w:tcMar>
              <w:left w:w="108" w:type="dxa"/>
              <w:right w:w="108" w:type="dxa"/>
            </w:tcMar>
            <w:tcW w:w="1626" w:type="dxa"/>
            <w:vAlign w:val="center"/>
            <w:textDirection w:val="lrTb"/>
            <w:noWrap w:val="false"/>
          </w:tcPr>
          <w:p>
            <w:pPr>
              <w:pStyle w:val="903"/>
              <w:rPr>
                <w:color w:val="000000"/>
              </w:rPr>
            </w:pPr>
            <w:r>
              <w:rPr>
                <w:color w:val="000000"/>
              </w:rPr>
              <w:t xml:space="preserve">网络健康度</w:t>
            </w:r>
            <w:r/>
          </w:p>
        </w:tc>
        <w:tc>
          <w:tcPr>
            <w:tcMar>
              <w:left w:w="108" w:type="dxa"/>
              <w:right w:w="108" w:type="dxa"/>
            </w:tcMar>
            <w:tcW w:w="6389" w:type="dxa"/>
            <w:vAlign w:val="center"/>
            <w:textDirection w:val="lrTb"/>
            <w:noWrap w:val="false"/>
          </w:tcPr>
          <w:p>
            <w:pPr>
              <w:pStyle w:val="903"/>
              <w:rPr>
                <w:color w:val="000000"/>
              </w:rPr>
            </w:pPr>
            <w:r>
              <w:rPr>
                <w:color w:val="000000"/>
              </w:rPr>
              <w:t xml:space="preserve">支持全网网络设备工作状态的评价，从健康度趋势图可以直观了解设备的运行状态趋势</w:t>
            </w:r>
            <w:r/>
          </w:p>
          <w:p>
            <w:pPr>
              <w:pStyle w:val="903"/>
              <w:rPr>
                <w:color w:val="000000"/>
              </w:rPr>
            </w:pPr>
            <w:r>
              <w:rPr>
                <w:color w:val="000000"/>
              </w:rPr>
              <w:t xml:space="preserve">支持网络设备的配置变更和表项变更进行分析</w:t>
            </w:r>
            <w:r/>
          </w:p>
          <w:p>
            <w:pPr>
              <w:pStyle w:val="903"/>
              <w:rPr>
                <w:color w:val="000000"/>
              </w:rPr>
            </w:pPr>
            <w:r>
              <w:rPr>
                <w:color w:val="000000"/>
              </w:rPr>
              <w:t xml:space="preserve">支持overlay隧道的业务分析；支持路由监控</w:t>
            </w:r>
            <w:r/>
          </w:p>
        </w:tc>
      </w:tr>
      <w:tr>
        <w:trPr>
          <w:trHeight w:val="20"/>
        </w:trPr>
        <w:tc>
          <w:tcPr>
            <w:tcMar>
              <w:left w:w="108" w:type="dxa"/>
              <w:right w:w="108" w:type="dxa"/>
            </w:tcMar>
            <w:tcW w:w="1626" w:type="dxa"/>
            <w:vAlign w:val="center"/>
            <w:textDirection w:val="lrTb"/>
            <w:noWrap w:val="false"/>
          </w:tcPr>
          <w:p>
            <w:pPr>
              <w:pStyle w:val="903"/>
              <w:rPr>
                <w:color w:val="000000"/>
              </w:rPr>
            </w:pPr>
            <w:r>
              <w:rPr>
                <w:color w:val="000000"/>
              </w:rPr>
              <w:t xml:space="preserve">故障自动诊断</w:t>
            </w:r>
            <w:r/>
          </w:p>
        </w:tc>
        <w:tc>
          <w:tcPr>
            <w:tcMar>
              <w:left w:w="108" w:type="dxa"/>
              <w:right w:w="108" w:type="dxa"/>
            </w:tcMar>
            <w:tcW w:w="6389" w:type="dxa"/>
            <w:vAlign w:val="center"/>
            <w:textDirection w:val="lrTb"/>
            <w:noWrap w:val="false"/>
          </w:tcPr>
          <w:p>
            <w:pPr>
              <w:pStyle w:val="903"/>
              <w:rPr>
                <w:color w:val="000000"/>
              </w:rPr>
            </w:pPr>
            <w:r>
              <w:rPr>
                <w:color w:val="000000"/>
              </w:rPr>
              <w:t xml:space="preserve">支持自动感知设备连接故障，设备CPU、内存、温度超过阈值</w:t>
            </w:r>
            <w:r/>
          </w:p>
          <w:p>
            <w:pPr>
              <w:pStyle w:val="903"/>
              <w:rPr>
                <w:color w:val="000000"/>
              </w:rPr>
            </w:pPr>
            <w:r>
              <w:rPr>
                <w:color w:val="000000"/>
              </w:rPr>
              <w:t xml:space="preserve">支持自动感知链路中断，链路带宽低于阈值</w:t>
            </w:r>
            <w:r/>
          </w:p>
          <w:p>
            <w:pPr>
              <w:pStyle w:val="903"/>
              <w:rPr>
                <w:color w:val="000000"/>
              </w:rPr>
            </w:pPr>
            <w:r>
              <w:rPr>
                <w:color w:val="000000"/>
              </w:rPr>
              <w:t xml:space="preserve">支持自动感知应用质量是否满足需求</w:t>
            </w:r>
            <w:r/>
          </w:p>
        </w:tc>
      </w:tr>
      <w:tr>
        <w:trPr>
          <w:trHeight w:val="20"/>
        </w:trPr>
        <w:tc>
          <w:tcPr>
            <w:tcMar>
              <w:left w:w="108" w:type="dxa"/>
              <w:right w:w="108" w:type="dxa"/>
            </w:tcMar>
            <w:tcW w:w="1626" w:type="dxa"/>
            <w:vAlign w:val="center"/>
            <w:textDirection w:val="lrTb"/>
            <w:noWrap w:val="false"/>
          </w:tcPr>
          <w:p>
            <w:pPr>
              <w:pStyle w:val="903"/>
              <w:rPr>
                <w:color w:val="000000"/>
              </w:rPr>
            </w:pPr>
            <w:r>
              <w:rPr>
                <w:rFonts w:hint="eastAsia" w:ascii="宋体" w:hAnsi="宋体" w:cs="宋体"/>
                <w:color w:val="000000"/>
              </w:rPr>
              <w:t xml:space="preserve">★</w:t>
            </w:r>
            <w:r>
              <w:rPr>
                <w:color w:val="000000"/>
              </w:rPr>
              <w:t xml:space="preserve">报表导出</w:t>
            </w:r>
            <w:r/>
          </w:p>
        </w:tc>
        <w:tc>
          <w:tcPr>
            <w:tcMar>
              <w:left w:w="108" w:type="dxa"/>
              <w:right w:w="108" w:type="dxa"/>
            </w:tcMar>
            <w:tcW w:w="6389" w:type="dxa"/>
            <w:vAlign w:val="center"/>
            <w:textDirection w:val="lrTb"/>
            <w:noWrap w:val="false"/>
          </w:tcPr>
          <w:p>
            <w:pPr>
              <w:pStyle w:val="903"/>
              <w:rPr>
                <w:color w:val="000000"/>
              </w:rPr>
            </w:pPr>
            <w:r>
              <w:rPr>
                <w:color w:val="000000"/>
              </w:rPr>
              <w:t xml:space="preserve">支持丰富的报表类型：设备的内存/CPU利用率/健康度等报表；链路的带宽/质量等报表；链路流入/流出带宽利用率Top10报表；链路流入/流出错包率Top10报表；链路流入/流出丢包率Top10报表；Netstream流量报表；VPN的流量报表等等。支持手工和定时任务导出。（提供功能截图证明）</w:t>
            </w:r>
            <w:r/>
          </w:p>
        </w:tc>
      </w:tr>
      <w:tr>
        <w:trPr>
          <w:trHeight w:val="20"/>
        </w:trPr>
        <w:tc>
          <w:tcPr>
            <w:tcMar>
              <w:left w:w="108" w:type="dxa"/>
              <w:right w:w="108" w:type="dxa"/>
            </w:tcMar>
            <w:tcW w:w="1626" w:type="dxa"/>
            <w:vAlign w:val="center"/>
            <w:textDirection w:val="lrTb"/>
            <w:noWrap w:val="false"/>
          </w:tcPr>
          <w:p>
            <w:pPr>
              <w:pStyle w:val="903"/>
              <w:rPr>
                <w:color w:val="000000"/>
              </w:rPr>
            </w:pPr>
            <w:r>
              <w:rPr>
                <w:rFonts w:hint="eastAsia" w:ascii="宋体" w:hAnsi="宋体" w:cs="宋体"/>
                <w:color w:val="000000"/>
              </w:rPr>
              <w:t xml:space="preserve">★</w:t>
            </w:r>
            <w:r>
              <w:rPr>
                <w:color w:val="000000"/>
              </w:rPr>
              <w:t xml:space="preserve">配置要求</w:t>
            </w:r>
            <w:r/>
          </w:p>
        </w:tc>
        <w:tc>
          <w:tcPr>
            <w:tcMar>
              <w:left w:w="108" w:type="dxa"/>
              <w:right w:w="108" w:type="dxa"/>
            </w:tcMar>
            <w:tcW w:w="6389" w:type="dxa"/>
            <w:vAlign w:val="center"/>
            <w:textDirection w:val="lrTb"/>
            <w:noWrap w:val="false"/>
          </w:tcPr>
          <w:p>
            <w:pPr>
              <w:pStyle w:val="903"/>
              <w:rPr>
                <w:color w:val="000000"/>
              </w:rPr>
            </w:pPr>
            <w:r>
              <w:rPr>
                <w:color w:val="000000"/>
              </w:rPr>
              <w:t xml:space="preserve">本次实配一套3节点分析器管理软件、一套3节点控制器管理软件，150个分支接入网元控制管理授权，150个分支接入网元分析管理授权，技术保障服务、软件部署服务。</w:t>
            </w:r>
            <w:r/>
          </w:p>
        </w:tc>
      </w:tr>
      <w:tr>
        <w:trPr>
          <w:trHeight w:val="20"/>
        </w:trPr>
        <w:tc>
          <w:tcPr>
            <w:tcMar>
              <w:left w:w="108" w:type="dxa"/>
              <w:right w:w="108" w:type="dxa"/>
            </w:tcMar>
            <w:tcW w:w="1626" w:type="dxa"/>
            <w:vAlign w:val="center"/>
            <w:textDirection w:val="lrTb"/>
            <w:noWrap w:val="false"/>
          </w:tcPr>
          <w:p>
            <w:pPr>
              <w:pStyle w:val="903"/>
              <w:rPr>
                <w:b/>
                <w:color w:val="000000"/>
              </w:rPr>
            </w:pPr>
            <w:r>
              <w:rPr>
                <w:b/>
                <w:i/>
                <w:iCs/>
                <w:color w:val="000000"/>
                <w:u w:val="single"/>
              </w:rPr>
              <w:t xml:space="preserve">售后服务</w:t>
            </w:r>
            <w:r>
              <w:rPr>
                <w:b/>
                <w:color w:val="000000"/>
              </w:rPr>
            </w:r>
            <w:r/>
          </w:p>
        </w:tc>
        <w:tc>
          <w:tcPr>
            <w:tcMar>
              <w:left w:w="108" w:type="dxa"/>
              <w:right w:w="108" w:type="dxa"/>
            </w:tcMar>
            <w:tcW w:w="6389" w:type="dxa"/>
            <w:vAlign w:val="center"/>
            <w:textDirection w:val="lrTb"/>
            <w:noWrap w:val="false"/>
          </w:tcPr>
          <w:p>
            <w:pPr>
              <w:pStyle w:val="903"/>
              <w:rPr>
                <w:b/>
                <w:color w:val="000000"/>
              </w:rPr>
            </w:pPr>
            <w:r>
              <w:rPr>
                <w:b/>
                <w:i/>
                <w:iCs/>
                <w:color w:val="000000"/>
                <w:u w:val="single"/>
                <w:lang w:eastAsia="en-US"/>
              </w:rPr>
              <w:t xml:space="preserve">提供</w:t>
            </w:r>
            <w:r>
              <w:rPr>
                <w:b/>
                <w:i/>
                <w:iCs/>
                <w:color w:val="000000"/>
                <w:u w:val="single"/>
              </w:rPr>
              <w:t xml:space="preserve">项目服务期内的</w:t>
            </w:r>
            <w:r>
              <w:rPr>
                <w:b/>
                <w:i/>
                <w:iCs/>
                <w:color w:val="000000"/>
                <w:u w:val="single"/>
                <w:lang w:eastAsia="en-US"/>
              </w:rPr>
              <w:t xml:space="preserve">硬件质保及软件升级服务</w:t>
            </w:r>
            <w:r>
              <w:rPr>
                <w:b/>
                <w:color w:val="000000"/>
              </w:rPr>
            </w:r>
            <w:r/>
          </w:p>
        </w:tc>
      </w:tr>
    </w:tbl>
    <w:p>
      <w:pPr>
        <w:pStyle w:val="907"/>
        <w:numPr>
          <w:ilvl w:val="0"/>
          <w:numId w:val="7"/>
        </w:numPr>
        <w:spacing w:before="0" w:after="0" w:line="360" w:lineRule="auto"/>
        <w:rPr>
          <w:rFonts w:ascii="Times New Roman" w:hAnsi="Times New Roman"/>
          <w:color w:val="000000"/>
        </w:rPr>
      </w:pPr>
      <w:r>
        <w:rPr>
          <w:rFonts w:ascii="Times New Roman" w:hAnsi="Times New Roman"/>
          <w:color w:val="000000"/>
        </w:rPr>
        <w:t xml:space="preserve">SD-WAN分支承载服务器</w:t>
      </w:r>
      <w:r/>
    </w:p>
    <w:tbl>
      <w:tblPr>
        <w:tblW w:w="83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6833"/>
      </w:tblGrid>
      <w:tr>
        <w:trPr/>
        <w:tc>
          <w:tcPr>
            <w:tcW w:w="1531" w:type="dxa"/>
            <w:vAlign w:val="top"/>
            <w:textDirection w:val="lrTb"/>
            <w:noWrap w:val="false"/>
          </w:tcPr>
          <w:p>
            <w:pPr>
              <w:pStyle w:val="903"/>
              <w:jc w:val="left"/>
              <w:rPr>
                <w:color w:val="000000"/>
              </w:rPr>
            </w:pPr>
            <w:r>
              <w:rPr>
                <w:color w:val="000000"/>
              </w:rPr>
              <w:t xml:space="preserve">技术指标</w:t>
            </w:r>
            <w:r/>
          </w:p>
        </w:tc>
        <w:tc>
          <w:tcPr>
            <w:tcW w:w="6833" w:type="dxa"/>
            <w:vAlign w:val="top"/>
            <w:textDirection w:val="lrTb"/>
            <w:noWrap w:val="false"/>
          </w:tcPr>
          <w:p>
            <w:pPr>
              <w:pStyle w:val="903"/>
              <w:jc w:val="center"/>
              <w:rPr>
                <w:color w:val="000000"/>
              </w:rPr>
            </w:pPr>
            <w:r>
              <w:rPr>
                <w:color w:val="000000"/>
              </w:rPr>
              <w:t xml:space="preserve">参数要求</w:t>
            </w:r>
            <w:r/>
          </w:p>
        </w:tc>
      </w:tr>
      <w:tr>
        <w:trPr/>
        <w:tc>
          <w:tcPr>
            <w:tcW w:w="1531" w:type="dxa"/>
            <w:vAlign w:val="top"/>
            <w:textDirection w:val="lrTb"/>
            <w:noWrap w:val="false"/>
          </w:tcPr>
          <w:p>
            <w:pPr>
              <w:pStyle w:val="903"/>
              <w:jc w:val="left"/>
              <w:rPr>
                <w:color w:val="000000"/>
              </w:rPr>
            </w:pPr>
            <w:r>
              <w:rPr>
                <w:color w:val="000000"/>
              </w:rPr>
              <w:t xml:space="preserve">硬件</w:t>
            </w:r>
            <w:r/>
          </w:p>
        </w:tc>
        <w:tc>
          <w:tcPr>
            <w:tcW w:w="6833" w:type="dxa"/>
            <w:vAlign w:val="top"/>
            <w:textDirection w:val="lrTb"/>
            <w:noWrap w:val="false"/>
          </w:tcPr>
          <w:p>
            <w:pPr>
              <w:pStyle w:val="903"/>
              <w:rPr>
                <w:color w:val="000000"/>
              </w:rPr>
            </w:pPr>
            <w:r>
              <w:rPr>
                <w:color w:val="000000"/>
              </w:rPr>
              <w:t xml:space="preserve">机架式，高度≥2U，标配导轨；</w:t>
              <w:tab/>
              <w:t xml:space="preserve">2个≥850w白金版热插拔冗余电源，热插拔冗余风扇；提供≥1个网卡专用插槽（不占用PCLE扩展槽），配置≥4个万兆以太网光口（含多模光模块）；</w:t>
            </w:r>
            <w:r/>
          </w:p>
        </w:tc>
      </w:tr>
      <w:tr>
        <w:trPr/>
        <w:tc>
          <w:tcPr>
            <w:tcW w:w="1531" w:type="dxa"/>
            <w:vAlign w:val="top"/>
            <w:textDirection w:val="lrTb"/>
            <w:noWrap w:val="false"/>
          </w:tcPr>
          <w:p>
            <w:pPr>
              <w:pStyle w:val="903"/>
              <w:jc w:val="left"/>
              <w:rPr>
                <w:iCs/>
                <w:color w:val="000000"/>
              </w:rPr>
            </w:pPr>
            <w:r>
              <w:rPr>
                <w:iCs/>
                <w:color w:val="000000"/>
              </w:rPr>
              <w:t xml:space="preserve">CPU型号</w:t>
            </w:r>
            <w:r/>
          </w:p>
        </w:tc>
        <w:tc>
          <w:tcPr>
            <w:tcW w:w="6833" w:type="dxa"/>
            <w:vAlign w:val="top"/>
            <w:textDirection w:val="lrTb"/>
            <w:noWrap w:val="false"/>
          </w:tcPr>
          <w:p>
            <w:pPr>
              <w:pStyle w:val="903"/>
              <w:jc w:val="left"/>
              <w:rPr>
                <w:iCs/>
                <w:color w:val="000000"/>
              </w:rPr>
            </w:pPr>
            <w:r>
              <w:rPr>
                <w:iCs/>
                <w:color w:val="000000"/>
              </w:rPr>
              <w:t xml:space="preserve">单颗处理器主频≥2.1Hz,核数≥16；</w:t>
            </w:r>
            <w:r/>
          </w:p>
        </w:tc>
      </w:tr>
      <w:tr>
        <w:trPr/>
        <w:tc>
          <w:tcPr>
            <w:tcW w:w="1531" w:type="dxa"/>
            <w:vAlign w:val="top"/>
            <w:textDirection w:val="lrTb"/>
            <w:noWrap w:val="false"/>
          </w:tcPr>
          <w:p>
            <w:pPr>
              <w:pStyle w:val="903"/>
              <w:jc w:val="left"/>
              <w:rPr>
                <w:b/>
                <w:i/>
                <w:iCs/>
                <w:color w:val="000000"/>
                <w:u w:val="single"/>
              </w:rPr>
            </w:pPr>
            <w:r>
              <w:rPr>
                <w:b/>
                <w:i/>
                <w:iCs/>
                <w:color w:val="000000"/>
                <w:u w:val="single"/>
              </w:rPr>
              <w:t xml:space="preserve">CPU数量</w:t>
            </w:r>
            <w:r/>
          </w:p>
        </w:tc>
        <w:tc>
          <w:tcPr>
            <w:tcW w:w="6833" w:type="dxa"/>
            <w:vAlign w:val="top"/>
            <w:textDirection w:val="lrTb"/>
            <w:noWrap w:val="false"/>
          </w:tcPr>
          <w:p>
            <w:pPr>
              <w:pStyle w:val="903"/>
              <w:jc w:val="left"/>
              <w:rPr>
                <w:b/>
                <w:i/>
                <w:iCs/>
                <w:color w:val="000000"/>
                <w:u w:val="single"/>
              </w:rPr>
            </w:pPr>
            <w:r/>
            <w:bookmarkStart w:id="196" w:name="RANGE!D7"/>
            <w:r>
              <w:rPr>
                <w:b/>
                <w:i/>
                <w:iCs/>
                <w:color w:val="000000"/>
                <w:u w:val="single"/>
              </w:rPr>
              <w:t xml:space="preserve">≥2颗</w:t>
            </w:r>
            <w:bookmarkEnd w:id="196"/>
            <w:r>
              <w:rPr>
                <w:b/>
                <w:i/>
                <w:iCs/>
                <w:color w:val="000000"/>
                <w:u w:val="single"/>
              </w:rPr>
              <w:t xml:space="preserve">；</w:t>
            </w:r>
            <w:r/>
          </w:p>
        </w:tc>
      </w:tr>
      <w:tr>
        <w:trPr/>
        <w:tc>
          <w:tcPr>
            <w:tcW w:w="1531" w:type="dxa"/>
            <w:vAlign w:val="top"/>
            <w:textDirection w:val="lrTb"/>
            <w:noWrap w:val="false"/>
          </w:tcPr>
          <w:p>
            <w:pPr>
              <w:pStyle w:val="903"/>
              <w:jc w:val="left"/>
              <w:rPr>
                <w:b/>
                <w:i/>
                <w:iCs/>
                <w:color w:val="000000"/>
                <w:u w:val="single"/>
              </w:rPr>
            </w:pPr>
            <w:r>
              <w:rPr>
                <w:b/>
                <w:i/>
                <w:iCs/>
                <w:color w:val="000000"/>
                <w:u w:val="single"/>
              </w:rPr>
              <w:t xml:space="preserve">内存规格</w:t>
            </w:r>
            <w:r/>
          </w:p>
        </w:tc>
        <w:tc>
          <w:tcPr>
            <w:tcW w:w="6833" w:type="dxa"/>
            <w:vAlign w:val="top"/>
            <w:textDirection w:val="lrTb"/>
            <w:noWrap w:val="false"/>
          </w:tcPr>
          <w:p>
            <w:pPr>
              <w:pStyle w:val="903"/>
              <w:jc w:val="left"/>
              <w:rPr>
                <w:b/>
                <w:i/>
                <w:iCs/>
                <w:color w:val="000000"/>
                <w:u w:val="single"/>
              </w:rPr>
            </w:pPr>
            <w:r>
              <w:rPr>
                <w:b/>
                <w:i/>
                <w:iCs/>
                <w:color w:val="000000"/>
                <w:u w:val="single"/>
              </w:rPr>
              <w:t xml:space="preserve">≥320 GB DDR4 3200 MHz内存；</w:t>
            </w:r>
            <w:r/>
          </w:p>
        </w:tc>
      </w:tr>
      <w:tr>
        <w:trPr/>
        <w:tc>
          <w:tcPr>
            <w:tcW w:w="1531" w:type="dxa"/>
            <w:vAlign w:val="top"/>
            <w:textDirection w:val="lrTb"/>
            <w:noWrap w:val="false"/>
          </w:tcPr>
          <w:p>
            <w:pPr>
              <w:pStyle w:val="903"/>
              <w:jc w:val="left"/>
              <w:rPr>
                <w:color w:val="000000"/>
              </w:rPr>
            </w:pPr>
            <w:r>
              <w:rPr>
                <w:color w:val="000000"/>
              </w:rPr>
              <w:t xml:space="preserve">内存扩展</w:t>
            </w:r>
            <w:r/>
          </w:p>
        </w:tc>
        <w:tc>
          <w:tcPr>
            <w:tcW w:w="6833" w:type="dxa"/>
            <w:vAlign w:val="top"/>
            <w:textDirection w:val="lrTb"/>
            <w:noWrap w:val="false"/>
          </w:tcPr>
          <w:p>
            <w:pPr>
              <w:pStyle w:val="903"/>
              <w:jc w:val="left"/>
              <w:rPr>
                <w:color w:val="000000"/>
              </w:rPr>
            </w:pPr>
            <w:r>
              <w:rPr>
                <w:color w:val="000000"/>
              </w:rPr>
              <w:t xml:space="preserve">实最大支持32根DDR4内存，最高速率3200MT/s，支持RDIMM或LRDIMM；</w:t>
            </w:r>
            <w:r/>
          </w:p>
          <w:p>
            <w:pPr>
              <w:pStyle w:val="903"/>
              <w:jc w:val="left"/>
              <w:rPr>
                <w:color w:val="000000"/>
              </w:rPr>
            </w:pPr>
            <w:r>
              <w:rPr>
                <w:color w:val="000000"/>
              </w:rPr>
              <w:t xml:space="preserve">支持16根英特尔傲腾数据中心级持久内存（DCPMM），最大可支持内存容量高达12TB</w:t>
            </w:r>
            <w:r/>
          </w:p>
        </w:tc>
      </w:tr>
      <w:tr>
        <w:trPr/>
        <w:tc>
          <w:tcPr>
            <w:tcW w:w="1531" w:type="dxa"/>
            <w:vAlign w:val="top"/>
            <w:textDirection w:val="lrTb"/>
            <w:noWrap w:val="false"/>
          </w:tcPr>
          <w:p>
            <w:pPr>
              <w:pStyle w:val="903"/>
              <w:jc w:val="left"/>
              <w:rPr>
                <w:color w:val="000000"/>
              </w:rPr>
            </w:pPr>
            <w:r>
              <w:rPr>
                <w:color w:val="000000"/>
              </w:rPr>
              <w:t xml:space="preserve">阵列控制器</w:t>
            </w:r>
            <w:r/>
          </w:p>
        </w:tc>
        <w:tc>
          <w:tcPr>
            <w:tcW w:w="6833" w:type="dxa"/>
            <w:vAlign w:val="top"/>
            <w:textDirection w:val="lrTb"/>
            <w:noWrap w:val="false"/>
          </w:tcPr>
          <w:p>
            <w:pPr>
              <w:pStyle w:val="903"/>
              <w:jc w:val="left"/>
              <w:rPr>
                <w:color w:val="000000"/>
              </w:rPr>
            </w:pPr>
            <w:r>
              <w:rPr>
                <w:color w:val="000000"/>
              </w:rPr>
              <w:t xml:space="preserve">配置1个标准PCLE槽位阵列卡，支持Raid0/1/10/5/6/50/60，≥2 G缓存，支持缓存数据保护，配置掉电保护模块</w:t>
            </w:r>
            <w:r/>
          </w:p>
        </w:tc>
      </w:tr>
      <w:tr>
        <w:trPr>
          <w:trHeight w:val="819"/>
        </w:trPr>
        <w:tc>
          <w:tcPr>
            <w:tcW w:w="1531" w:type="dxa"/>
            <w:vAlign w:val="top"/>
            <w:textDirection w:val="lrTb"/>
            <w:noWrap w:val="false"/>
          </w:tcPr>
          <w:p>
            <w:pPr>
              <w:pStyle w:val="903"/>
              <w:jc w:val="left"/>
              <w:rPr>
                <w:color w:val="000000"/>
              </w:rPr>
            </w:pPr>
            <w:r>
              <w:rPr>
                <w:color w:val="000000"/>
              </w:rPr>
              <w:t xml:space="preserve">硬盘规格</w:t>
            </w:r>
            <w:r/>
          </w:p>
        </w:tc>
        <w:tc>
          <w:tcPr>
            <w:tcW w:w="6833" w:type="dxa"/>
            <w:vAlign w:val="top"/>
            <w:textDirection w:val="lrTb"/>
            <w:noWrap w:val="false"/>
          </w:tcPr>
          <w:p>
            <w:pPr>
              <w:pStyle w:val="903"/>
              <w:jc w:val="left"/>
              <w:rPr>
                <w:color w:val="000000"/>
              </w:rPr>
            </w:pPr>
            <w:r>
              <w:rPr>
                <w:color w:val="000000"/>
              </w:rPr>
              <w:t xml:space="preserve">配置≥2*480G SATA SSD硬盘，≥2*1.92T SATA SSD硬盘，≥3*4T 机械硬盘；</w:t>
            </w:r>
            <w:r/>
          </w:p>
          <w:p>
            <w:pPr>
              <w:pStyle w:val="903"/>
              <w:jc w:val="left"/>
              <w:rPr>
                <w:color w:val="000000"/>
              </w:rPr>
            </w:pPr>
            <w:r>
              <w:rPr>
                <w:color w:val="000000"/>
              </w:rPr>
              <w:t xml:space="preserve">配置≥12个3.5寸机械硬盘槽位，可扩展至≥40个硬盘槽位</w:t>
            </w:r>
            <w:r/>
          </w:p>
        </w:tc>
      </w:tr>
      <w:tr>
        <w:trPr/>
        <w:tc>
          <w:tcPr>
            <w:tcW w:w="1531" w:type="dxa"/>
            <w:vAlign w:val="top"/>
            <w:textDirection w:val="lrTb"/>
            <w:noWrap w:val="false"/>
          </w:tcPr>
          <w:p>
            <w:pPr>
              <w:pStyle w:val="903"/>
              <w:jc w:val="left"/>
              <w:rPr>
                <w:color w:val="000000"/>
              </w:rPr>
            </w:pPr>
            <w:r>
              <w:rPr>
                <w:color w:val="000000"/>
              </w:rPr>
              <w:t xml:space="preserve">PCIE插槽</w:t>
            </w:r>
            <w:r/>
          </w:p>
        </w:tc>
        <w:tc>
          <w:tcPr>
            <w:tcW w:w="6833" w:type="dxa"/>
            <w:vAlign w:val="top"/>
            <w:textDirection w:val="lrTb"/>
            <w:noWrap w:val="false"/>
          </w:tcPr>
          <w:p>
            <w:pPr>
              <w:pStyle w:val="903"/>
              <w:jc w:val="left"/>
              <w:rPr>
                <w:color w:val="000000"/>
              </w:rPr>
            </w:pPr>
            <w:r>
              <w:rPr>
                <w:color w:val="000000"/>
              </w:rPr>
              <w:t xml:space="preserve">实配≥6个标准PCIE3.0插槽，最多提供≥14个PCIE3.0插槽； </w:t>
            </w:r>
            <w:r/>
          </w:p>
        </w:tc>
      </w:tr>
      <w:tr>
        <w:trPr/>
        <w:tc>
          <w:tcPr>
            <w:tcW w:w="1531" w:type="dxa"/>
            <w:vAlign w:val="top"/>
            <w:textDirection w:val="lrTb"/>
            <w:noWrap w:val="false"/>
          </w:tcPr>
          <w:p>
            <w:pPr>
              <w:pStyle w:val="903"/>
              <w:jc w:val="left"/>
              <w:rPr>
                <w:color w:val="000000"/>
              </w:rPr>
            </w:pPr>
            <w:r>
              <w:rPr>
                <w:color w:val="000000"/>
              </w:rPr>
              <w:t xml:space="preserve">嵌入式管理</w:t>
            </w:r>
            <w:r/>
          </w:p>
        </w:tc>
        <w:tc>
          <w:tcPr>
            <w:tcW w:w="6833" w:type="dxa"/>
            <w:vAlign w:val="top"/>
            <w:textDirection w:val="lrTb"/>
            <w:noWrap w:val="false"/>
          </w:tcPr>
          <w:p>
            <w:pPr>
              <w:pStyle w:val="903"/>
              <w:jc w:val="left"/>
              <w:rPr>
                <w:color w:val="000000"/>
              </w:rPr>
            </w:pPr>
            <w:r>
              <w:rPr>
                <w:color w:val="000000"/>
              </w:rPr>
              <w:t xml:space="preserve">配置≥1Gb独立的远程管理控制端口；</w:t>
            </w:r>
            <w:r/>
          </w:p>
          <w:p>
            <w:pPr>
              <w:pStyle w:val="903"/>
              <w:jc w:val="left"/>
              <w:rPr>
                <w:color w:val="000000"/>
              </w:rPr>
            </w:pPr>
            <w:r>
              <w:rPr>
                <w:color w:val="000000"/>
              </w:rPr>
              <w:t xml:space="preserve">配置虚拟KVM功能, 可实现与操作系统无关的远程对服务器的完全控制，包括远程的开机、关机、重启、更新Firmware、虚拟光驱、等操作，提供服务器健康日记、服务器控制台录屏/回放功能，能够提供电源监控，支持3D图形化的机箱内部温度拓扑图显示，可支持动态功率封顶；</w:t>
            </w:r>
            <w:r/>
          </w:p>
          <w:p>
            <w:pPr>
              <w:pStyle w:val="903"/>
              <w:jc w:val="left"/>
              <w:rPr>
                <w:color w:val="000000"/>
              </w:rPr>
            </w:pPr>
            <w:r>
              <w:rPr>
                <w:color w:val="000000"/>
              </w:rPr>
              <w:t xml:space="preserve">支持中文BIOS界面。 </w:t>
            </w:r>
            <w:r/>
          </w:p>
        </w:tc>
      </w:tr>
      <w:tr>
        <w:trPr/>
        <w:tc>
          <w:tcPr>
            <w:tcW w:w="1531" w:type="dxa"/>
            <w:vAlign w:val="top"/>
            <w:textDirection w:val="lrTb"/>
            <w:noWrap w:val="false"/>
          </w:tcPr>
          <w:p>
            <w:pPr>
              <w:pStyle w:val="903"/>
              <w:jc w:val="left"/>
              <w:rPr>
                <w:color w:val="000000"/>
              </w:rPr>
            </w:pPr>
            <w:r>
              <w:rPr>
                <w:rFonts w:hint="eastAsia" w:ascii="宋体" w:hAnsi="宋体" w:cs="宋体"/>
                <w:color w:val="000000"/>
                <w:lang w:val="zh-CN"/>
              </w:rPr>
              <w:t xml:space="preserve">★</w:t>
            </w:r>
            <w:r>
              <w:rPr>
                <w:color w:val="000000"/>
              </w:rPr>
              <w:t xml:space="preserve">安全管理</w:t>
            </w:r>
            <w:r/>
          </w:p>
        </w:tc>
        <w:tc>
          <w:tcPr>
            <w:tcW w:w="6833" w:type="dxa"/>
            <w:vAlign w:val="top"/>
            <w:textDirection w:val="lrTb"/>
            <w:noWrap w:val="false"/>
          </w:tcPr>
          <w:p>
            <w:pPr>
              <w:pStyle w:val="903"/>
              <w:jc w:val="left"/>
              <w:rPr>
                <w:color w:val="000000"/>
              </w:rPr>
            </w:pPr>
            <w:r>
              <w:rPr>
                <w:color w:val="000000"/>
              </w:rPr>
              <w:t xml:space="preserve">嵌入式管理模块支持防火墙功能，可基于MAC地址，IP定义访问规则</w:t>
            </w:r>
            <w:r/>
          </w:p>
          <w:p>
            <w:pPr>
              <w:pStyle w:val="903"/>
              <w:jc w:val="left"/>
              <w:rPr>
                <w:color w:val="000000"/>
              </w:rPr>
            </w:pPr>
            <w:r>
              <w:rPr>
                <w:color w:val="000000"/>
              </w:rPr>
              <w:t xml:space="preserve">支持OTP的双因素认证方案，提高系统安全性；（提供技术白皮书说明）</w:t>
            </w:r>
            <w:r/>
          </w:p>
          <w:p>
            <w:pPr>
              <w:pStyle w:val="903"/>
              <w:jc w:val="left"/>
              <w:rPr>
                <w:color w:val="000000"/>
              </w:rPr>
            </w:pPr>
            <w:r>
              <w:rPr>
                <w:color w:val="000000"/>
              </w:rPr>
              <w:t xml:space="preserve">用户（本地，远程）统一配置到不同的用户组，用户的权限由角色定义，提高系统安全性 </w:t>
            </w:r>
            <w:r/>
          </w:p>
        </w:tc>
      </w:tr>
      <w:tr>
        <w:trPr/>
        <w:tc>
          <w:tcPr>
            <w:tcW w:w="1531" w:type="dxa"/>
            <w:vAlign w:val="top"/>
            <w:textDirection w:val="lrTb"/>
            <w:noWrap w:val="false"/>
          </w:tcPr>
          <w:p>
            <w:pPr>
              <w:pStyle w:val="903"/>
              <w:jc w:val="left"/>
              <w:rPr>
                <w:color w:val="000000"/>
              </w:rPr>
            </w:pPr>
            <w:r>
              <w:rPr>
                <w:color w:val="000000"/>
              </w:rPr>
              <w:t xml:space="preserve">集群管理</w:t>
            </w:r>
            <w:r/>
          </w:p>
        </w:tc>
        <w:tc>
          <w:tcPr>
            <w:tcW w:w="6833" w:type="dxa"/>
            <w:vAlign w:val="top"/>
            <w:textDirection w:val="lrTb"/>
            <w:noWrap w:val="false"/>
          </w:tcPr>
          <w:p>
            <w:pPr>
              <w:pStyle w:val="903"/>
              <w:jc w:val="left"/>
              <w:rPr>
                <w:color w:val="000000"/>
              </w:rPr>
            </w:pPr>
            <w:r>
              <w:rPr>
                <w:color w:val="000000"/>
              </w:rPr>
              <w:t xml:space="preserve">要求配置集群统一管理平台，支持对服务器、交换机及机箱的统一管理、状态监控、模板化部署等功能</w:t>
            </w:r>
            <w:r/>
          </w:p>
        </w:tc>
      </w:tr>
      <w:tr>
        <w:trPr/>
        <w:tc>
          <w:tcPr>
            <w:tcW w:w="1531" w:type="dxa"/>
            <w:vAlign w:val="top"/>
            <w:textDirection w:val="lrTb"/>
            <w:noWrap w:val="false"/>
          </w:tcPr>
          <w:p>
            <w:pPr>
              <w:pStyle w:val="903"/>
              <w:jc w:val="left"/>
              <w:rPr>
                <w:color w:val="000000"/>
              </w:rPr>
            </w:pPr>
            <w:r>
              <w:rPr>
                <w:rFonts w:hint="eastAsia" w:ascii="宋体" w:hAnsi="宋体" w:cs="宋体"/>
                <w:color w:val="000000"/>
              </w:rPr>
              <w:t xml:space="preserve">★</w:t>
            </w:r>
            <w:r>
              <w:rPr>
                <w:color w:val="000000"/>
              </w:rPr>
              <w:t xml:space="preserve">配置要求</w:t>
            </w:r>
            <w:r/>
          </w:p>
        </w:tc>
        <w:tc>
          <w:tcPr>
            <w:tcW w:w="6833" w:type="dxa"/>
            <w:vAlign w:val="top"/>
            <w:textDirection w:val="lrTb"/>
            <w:noWrap w:val="false"/>
          </w:tcPr>
          <w:p>
            <w:pPr>
              <w:pStyle w:val="903"/>
              <w:jc w:val="left"/>
              <w:rPr>
                <w:color w:val="000000"/>
              </w:rPr>
            </w:pPr>
            <w:r>
              <w:rPr>
                <w:color w:val="000000"/>
              </w:rPr>
              <w:t xml:space="preserve">配置主机3台，配置不小于上述要求，配备相应操作系统及应用软件，原厂首次上门安装服务。</w:t>
            </w:r>
            <w:r/>
          </w:p>
        </w:tc>
      </w:tr>
      <w:tr>
        <w:trPr/>
        <w:tc>
          <w:tcPr>
            <w:tcW w:w="1531" w:type="dxa"/>
            <w:vAlign w:val="center"/>
            <w:textDirection w:val="lrTb"/>
            <w:noWrap w:val="false"/>
          </w:tcPr>
          <w:p>
            <w:pPr>
              <w:pStyle w:val="903"/>
              <w:jc w:val="left"/>
              <w:rPr>
                <w:b/>
                <w:color w:val="000000"/>
              </w:rPr>
            </w:pPr>
            <w:r>
              <w:rPr>
                <w:b/>
                <w:i/>
                <w:iCs/>
                <w:color w:val="000000"/>
                <w:u w:val="single"/>
              </w:rPr>
              <w:t xml:space="preserve">售后服务</w:t>
            </w:r>
            <w:r>
              <w:rPr>
                <w:b/>
                <w:color w:val="000000"/>
              </w:rPr>
            </w:r>
            <w:r/>
          </w:p>
        </w:tc>
        <w:tc>
          <w:tcPr>
            <w:tcW w:w="6833" w:type="dxa"/>
            <w:vAlign w:val="center"/>
            <w:textDirection w:val="lrTb"/>
            <w:noWrap w:val="false"/>
          </w:tcPr>
          <w:p>
            <w:pPr>
              <w:pStyle w:val="903"/>
              <w:rPr>
                <w:b/>
                <w:i/>
                <w:iCs/>
                <w:color w:val="000000"/>
                <w:u w:val="single"/>
                <w:lang w:eastAsia="en-US"/>
              </w:rPr>
            </w:pPr>
            <w:r>
              <w:rPr>
                <w:b/>
                <w:i/>
                <w:iCs/>
                <w:color w:val="000000"/>
                <w:u w:val="single"/>
                <w:lang w:eastAsia="en-US"/>
              </w:rPr>
              <w:t xml:space="preserve">提供</w:t>
            </w:r>
            <w:r>
              <w:rPr>
                <w:b/>
                <w:i/>
                <w:iCs/>
                <w:color w:val="000000"/>
                <w:u w:val="single"/>
              </w:rPr>
              <w:t xml:space="preserve">项目服务期内的</w:t>
            </w:r>
            <w:r>
              <w:rPr>
                <w:b/>
                <w:i/>
                <w:iCs/>
                <w:color w:val="000000"/>
                <w:u w:val="single"/>
                <w:lang w:eastAsia="en-US"/>
              </w:rPr>
              <w:t xml:space="preserve">硬件质保及软件升级服务</w:t>
            </w:r>
            <w:r/>
          </w:p>
        </w:tc>
      </w:tr>
    </w:tbl>
    <w:p>
      <w:pPr>
        <w:pStyle w:val="907"/>
        <w:numPr>
          <w:ilvl w:val="0"/>
          <w:numId w:val="7"/>
        </w:numPr>
        <w:spacing w:before="0" w:after="0" w:line="360" w:lineRule="auto"/>
        <w:rPr>
          <w:rFonts w:ascii="Times New Roman" w:hAnsi="Times New Roman"/>
          <w:color w:val="000000"/>
        </w:rPr>
      </w:pPr>
      <w:r>
        <w:rPr>
          <w:rFonts w:ascii="Times New Roman" w:hAnsi="Times New Roman"/>
          <w:color w:val="000000"/>
        </w:rPr>
        <w:t xml:space="preserve">省级广域网承载点出口路由器</w:t>
      </w:r>
      <w:r/>
    </w:p>
    <w:tbl>
      <w:tblPr>
        <w:tblW w:w="86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4"/>
        <w:gridCol w:w="6983"/>
      </w:tblGrid>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903"/>
              <w:rPr>
                <w:color w:val="000000"/>
              </w:rPr>
            </w:pPr>
            <w:r>
              <w:rPr>
                <w:color w:val="000000"/>
              </w:rPr>
              <w:t xml:space="preserve">技术指标</w:t>
            </w:r>
            <w:r/>
          </w:p>
        </w:tc>
        <w:tc>
          <w:tcPr>
            <w:shd w:val="clear" w:color="auto" w:fill="ffffff"/>
            <w:tcBorders>
              <w:top w:val="single" w:color="000000" w:sz="4" w:space="0"/>
              <w:left w:val="single" w:color="000000" w:sz="4" w:space="0"/>
              <w:bottom w:val="single" w:color="000000" w:sz="4" w:space="0"/>
              <w:right w:val="single" w:color="000000" w:sz="4" w:space="0"/>
            </w:tcBorders>
            <w:tcW w:w="6983" w:type="dxa"/>
            <w:vAlign w:val="center"/>
            <w:textDirection w:val="lrTb"/>
            <w:noWrap w:val="false"/>
          </w:tcPr>
          <w:p>
            <w:pPr>
              <w:pStyle w:val="903"/>
              <w:rPr>
                <w:color w:val="000000"/>
              </w:rPr>
            </w:pPr>
            <w:r>
              <w:rPr>
                <w:color w:val="000000"/>
              </w:rPr>
              <w:t xml:space="preserve">参数要求</w:t>
            </w:r>
            <w:r/>
          </w:p>
        </w:tc>
      </w:tr>
      <w:tr>
        <w:trPr>
          <w:trHeight w:val="285"/>
        </w:trPr>
        <w:tc>
          <w:tcPr>
            <w:tcW w:w="1664" w:type="dxa"/>
            <w:vAlign w:val="center"/>
            <w:textDirection w:val="lrTb"/>
            <w:noWrap w:val="false"/>
          </w:tcPr>
          <w:p>
            <w:pPr>
              <w:pStyle w:val="903"/>
              <w:rPr>
                <w:color w:val="000000"/>
              </w:rPr>
            </w:pPr>
            <w:r>
              <w:rPr>
                <w:color w:val="000000"/>
              </w:rPr>
              <w:t xml:space="preserve">产品架构</w:t>
            </w:r>
            <w:r/>
          </w:p>
        </w:tc>
        <w:tc>
          <w:tcPr>
            <w:tcW w:w="6983" w:type="dxa"/>
            <w:vAlign w:val="center"/>
            <w:textDirection w:val="lrTb"/>
            <w:noWrap w:val="false"/>
          </w:tcPr>
          <w:p>
            <w:pPr>
              <w:pStyle w:val="903"/>
              <w:rPr>
                <w:color w:val="000000"/>
              </w:rPr>
            </w:pPr>
            <w:r>
              <w:rPr>
                <w:color w:val="000000"/>
              </w:rPr>
              <w:t xml:space="preserve">支持主控板与业务板完全物理分离。</w:t>
            </w:r>
            <w:r/>
          </w:p>
          <w:p>
            <w:pPr>
              <w:pStyle w:val="903"/>
              <w:rPr>
                <w:color w:val="000000"/>
              </w:rPr>
            </w:pPr>
            <w:r>
              <w:rPr>
                <w:color w:val="000000"/>
              </w:rPr>
              <w:t xml:space="preserve">主控板≥2 个，满足1+1冗余。</w:t>
            </w:r>
            <w:r/>
          </w:p>
        </w:tc>
      </w:tr>
      <w:tr>
        <w:trPr>
          <w:trHeight w:val="839"/>
        </w:trPr>
        <w:tc>
          <w:tcPr>
            <w:tcW w:w="1664" w:type="dxa"/>
            <w:vAlign w:val="center"/>
            <w:textDirection w:val="lrTb"/>
            <w:noWrap w:val="false"/>
          </w:tcPr>
          <w:p>
            <w:pPr>
              <w:pStyle w:val="903"/>
              <w:rPr>
                <w:color w:val="000000"/>
              </w:rPr>
            </w:pPr>
            <w:r>
              <w:rPr>
                <w:rFonts w:hint="eastAsia" w:ascii="宋体" w:hAnsi="宋体" w:cs="宋体"/>
                <w:color w:val="000000"/>
              </w:rPr>
              <w:t xml:space="preserve">★</w:t>
            </w:r>
            <w:r>
              <w:rPr>
                <w:color w:val="000000"/>
              </w:rPr>
              <w:t xml:space="preserve">业务板要求</w:t>
            </w:r>
            <w:r/>
          </w:p>
        </w:tc>
        <w:tc>
          <w:tcPr>
            <w:tcW w:w="6983" w:type="dxa"/>
            <w:vAlign w:val="center"/>
            <w:textDirection w:val="lrTb"/>
            <w:noWrap w:val="false"/>
          </w:tcPr>
          <w:p>
            <w:pPr>
              <w:pStyle w:val="903"/>
              <w:rPr>
                <w:color w:val="000000"/>
              </w:rPr>
            </w:pPr>
            <w:r>
              <w:rPr>
                <w:color w:val="000000"/>
              </w:rPr>
              <w:t xml:space="preserve">业务板卡支持子卡+母板形态，一个母卡支持最多支持4个子卡槽位。</w:t>
            </w:r>
            <w:r/>
          </w:p>
          <w:p>
            <w:pPr>
              <w:pStyle w:val="903"/>
              <w:rPr>
                <w:color w:val="000000"/>
              </w:rPr>
            </w:pPr>
            <w:r>
              <w:rPr>
                <w:color w:val="000000"/>
              </w:rPr>
              <w:t xml:space="preserve">整机1U高全宽业务板槽位≥8个，业务板槽位数≥28个。</w:t>
            </w:r>
            <w:r/>
          </w:p>
          <w:p>
            <w:pPr>
              <w:pStyle w:val="903"/>
              <w:rPr>
                <w:color w:val="000000"/>
              </w:rPr>
            </w:pPr>
            <w:r>
              <w:rPr>
                <w:color w:val="000000"/>
              </w:rPr>
              <w:t xml:space="preserve">满配交换网板</w:t>
            </w:r>
            <w:r/>
          </w:p>
        </w:tc>
      </w:tr>
      <w:tr>
        <w:trPr>
          <w:trHeight w:val="285"/>
        </w:trPr>
        <w:tc>
          <w:tcPr>
            <w:tcW w:w="1664" w:type="dxa"/>
            <w:vAlign w:val="center"/>
            <w:textDirection w:val="lrTb"/>
            <w:noWrap w:val="false"/>
          </w:tcPr>
          <w:p>
            <w:pPr>
              <w:pStyle w:val="903"/>
              <w:rPr>
                <w:b/>
                <w:i/>
                <w:iCs/>
                <w:color w:val="000000"/>
                <w:u w:val="single"/>
              </w:rPr>
            </w:pPr>
            <w:r>
              <w:rPr>
                <w:b/>
                <w:i/>
                <w:iCs/>
                <w:color w:val="000000"/>
                <w:u w:val="single"/>
              </w:rPr>
              <w:t xml:space="preserve">交换容量</w:t>
            </w:r>
            <w:r/>
          </w:p>
        </w:tc>
        <w:tc>
          <w:tcPr>
            <w:tcW w:w="6983" w:type="dxa"/>
            <w:vAlign w:val="center"/>
            <w:textDirection w:val="lrTb"/>
            <w:noWrap w:val="false"/>
          </w:tcPr>
          <w:p>
            <w:pPr>
              <w:pStyle w:val="903"/>
              <w:rPr>
                <w:b/>
                <w:i/>
                <w:iCs/>
                <w:color w:val="000000"/>
                <w:u w:val="single"/>
              </w:rPr>
            </w:pPr>
            <w:r>
              <w:rPr>
                <w:b/>
                <w:i/>
                <w:iCs/>
                <w:color w:val="000000"/>
                <w:u w:val="single"/>
              </w:rPr>
              <w:t xml:space="preserve">整机交换容量≥240Tbps。</w:t>
            </w:r>
            <w:r/>
          </w:p>
        </w:tc>
      </w:tr>
      <w:tr>
        <w:trPr>
          <w:trHeight w:val="90"/>
        </w:trPr>
        <w:tc>
          <w:tcPr>
            <w:tcW w:w="1664" w:type="dxa"/>
            <w:vAlign w:val="center"/>
            <w:textDirection w:val="lrTb"/>
            <w:noWrap w:val="false"/>
          </w:tcPr>
          <w:p>
            <w:pPr>
              <w:pStyle w:val="903"/>
              <w:rPr>
                <w:b/>
                <w:i/>
                <w:iCs/>
                <w:color w:val="000000"/>
                <w:u w:val="single"/>
              </w:rPr>
            </w:pPr>
            <w:r>
              <w:rPr>
                <w:b/>
                <w:i/>
                <w:iCs/>
                <w:color w:val="000000"/>
                <w:u w:val="single"/>
              </w:rPr>
              <w:t xml:space="preserve">包转发能力</w:t>
            </w:r>
            <w:r/>
          </w:p>
        </w:tc>
        <w:tc>
          <w:tcPr>
            <w:tcW w:w="6983" w:type="dxa"/>
            <w:vAlign w:val="center"/>
            <w:textDirection w:val="lrTb"/>
            <w:noWrap w:val="false"/>
          </w:tcPr>
          <w:p>
            <w:pPr>
              <w:pStyle w:val="903"/>
              <w:rPr>
                <w:b/>
                <w:i/>
                <w:iCs/>
                <w:color w:val="000000"/>
                <w:u w:val="single"/>
              </w:rPr>
            </w:pPr>
            <w:r>
              <w:rPr>
                <w:b/>
                <w:i/>
                <w:iCs/>
                <w:color w:val="000000"/>
                <w:u w:val="single"/>
              </w:rPr>
              <w:t xml:space="preserve">整机包转发能力≥28000Mpps。</w:t>
            </w:r>
            <w:r/>
          </w:p>
        </w:tc>
      </w:tr>
      <w:tr>
        <w:trPr>
          <w:trHeight w:val="285"/>
        </w:trPr>
        <w:tc>
          <w:tcPr>
            <w:tcW w:w="1664" w:type="dxa"/>
            <w:vAlign w:val="center"/>
            <w:textDirection w:val="lrTb"/>
            <w:noWrap w:val="false"/>
          </w:tcPr>
          <w:p>
            <w:pPr>
              <w:pStyle w:val="903"/>
              <w:rPr>
                <w:color w:val="000000"/>
              </w:rPr>
            </w:pPr>
            <w:r>
              <w:rPr>
                <w:color w:val="000000"/>
              </w:rPr>
              <w:t xml:space="preserve">端口扩展性需求</w:t>
            </w:r>
            <w:r/>
          </w:p>
        </w:tc>
        <w:tc>
          <w:tcPr>
            <w:tcW w:w="6983" w:type="dxa"/>
            <w:vAlign w:val="center"/>
            <w:textDirection w:val="lrTb"/>
            <w:noWrap w:val="false"/>
          </w:tcPr>
          <w:p>
            <w:pPr>
              <w:pStyle w:val="903"/>
              <w:rPr>
                <w:color w:val="000000"/>
              </w:rPr>
            </w:pPr>
            <w:r>
              <w:rPr>
                <w:color w:val="000000"/>
              </w:rPr>
              <w:t xml:space="preserve">支持FE、GE、10GE（LAN/WAN）、155M POS/CPOS、622M POS等接口（提供官网截图证明）</w:t>
            </w:r>
            <w:r/>
          </w:p>
        </w:tc>
      </w:tr>
      <w:tr>
        <w:trPr>
          <w:cantSplit/>
          <w:trHeight w:val="556"/>
        </w:trPr>
        <w:tc>
          <w:tcPr>
            <w:tcW w:w="1664" w:type="dxa"/>
            <w:vAlign w:val="center"/>
            <w:vMerge w:val="restart"/>
            <w:textDirection w:val="lrTb"/>
            <w:noWrap w:val="false"/>
          </w:tcPr>
          <w:p>
            <w:pPr>
              <w:pStyle w:val="903"/>
              <w:rPr>
                <w:color w:val="000000"/>
              </w:rPr>
            </w:pPr>
            <w:r>
              <w:rPr>
                <w:color w:val="000000"/>
              </w:rPr>
              <w:t xml:space="preserve">可靠性要求</w:t>
            </w:r>
            <w:r/>
          </w:p>
        </w:tc>
        <w:tc>
          <w:tcPr>
            <w:tcW w:w="6983" w:type="dxa"/>
            <w:vAlign w:val="center"/>
            <w:textDirection w:val="lrTb"/>
            <w:noWrap w:val="false"/>
          </w:tcPr>
          <w:p>
            <w:pPr>
              <w:pStyle w:val="903"/>
              <w:rPr>
                <w:color w:val="000000"/>
              </w:rPr>
            </w:pPr>
            <w:r>
              <w:rPr>
                <w:color w:val="000000"/>
              </w:rPr>
              <w:t xml:space="preserve">支持电源模块、风扇、主控模块冗余备份。</w:t>
            </w:r>
            <w:r/>
          </w:p>
          <w:p>
            <w:pPr>
              <w:pStyle w:val="903"/>
              <w:rPr>
                <w:color w:val="000000"/>
              </w:rPr>
            </w:pPr>
            <w:r>
              <w:rPr>
                <w:color w:val="000000"/>
              </w:rPr>
              <w:t xml:space="preserve">所有单板和模块均支持热拔插。</w:t>
            </w:r>
            <w:r/>
          </w:p>
        </w:tc>
      </w:tr>
      <w:tr>
        <w:trPr>
          <w:cantSplit/>
          <w:trHeight w:val="90"/>
        </w:trPr>
        <w:tc>
          <w:tcPr>
            <w:tcW w:w="1664" w:type="dxa"/>
            <w:vAlign w:val="center"/>
            <w:vMerge w:val="continue"/>
            <w:textDirection w:val="lrTb"/>
            <w:noWrap w:val="false"/>
          </w:tcPr>
          <w:p>
            <w:pPr>
              <w:pStyle w:val="903"/>
              <w:rPr>
                <w:color w:val="000000"/>
              </w:rPr>
            </w:pPr>
            <w:r>
              <w:rPr>
                <w:color w:val="000000"/>
              </w:rPr>
            </w:r>
            <w:r/>
          </w:p>
        </w:tc>
        <w:tc>
          <w:tcPr>
            <w:tcW w:w="6983" w:type="dxa"/>
            <w:vAlign w:val="center"/>
            <w:textDirection w:val="lrTb"/>
            <w:noWrap w:val="false"/>
          </w:tcPr>
          <w:p>
            <w:pPr>
              <w:pStyle w:val="903"/>
              <w:rPr>
                <w:color w:val="000000"/>
              </w:rPr>
            </w:pPr>
            <w:r>
              <w:rPr>
                <w:color w:val="000000"/>
              </w:rPr>
              <w:t xml:space="preserve">支持IP TRUNK、MP、ETH端口聚合；支持FRR（Fast Reroute，快速重路由）。</w:t>
            </w:r>
            <w:r/>
          </w:p>
        </w:tc>
      </w:tr>
      <w:tr>
        <w:trPr>
          <w:cantSplit/>
          <w:trHeight w:val="1375"/>
        </w:trPr>
        <w:tc>
          <w:tcPr>
            <w:tcW w:w="1664" w:type="dxa"/>
            <w:vAlign w:val="center"/>
            <w:vMerge w:val="continue"/>
            <w:textDirection w:val="lrTb"/>
            <w:noWrap w:val="false"/>
          </w:tcPr>
          <w:p>
            <w:pPr>
              <w:pStyle w:val="903"/>
              <w:rPr>
                <w:color w:val="000000"/>
              </w:rPr>
            </w:pPr>
            <w:r>
              <w:rPr>
                <w:color w:val="000000"/>
              </w:rPr>
            </w:r>
            <w:r/>
          </w:p>
        </w:tc>
        <w:tc>
          <w:tcPr>
            <w:tcW w:w="6983" w:type="dxa"/>
            <w:vAlign w:val="center"/>
            <w:textDirection w:val="lrTb"/>
            <w:noWrap w:val="false"/>
          </w:tcPr>
          <w:p>
            <w:pPr>
              <w:pStyle w:val="903"/>
              <w:rPr>
                <w:color w:val="000000"/>
              </w:rPr>
            </w:pPr>
            <w:r>
              <w:rPr>
                <w:color w:val="000000"/>
              </w:rPr>
              <w:t xml:space="preserve">为检测设备之间的双向时延、抖动、丢包进行统计等信息，设备需支持Y.1731检测网络质量（提供具有CNAS或CMA标识的检测报告复印件）；</w:t>
            </w:r>
            <w:r/>
          </w:p>
          <w:p>
            <w:pPr>
              <w:pStyle w:val="903"/>
              <w:rPr>
                <w:color w:val="000000"/>
              </w:rPr>
            </w:pPr>
            <w:r>
              <w:rPr>
                <w:color w:val="000000"/>
              </w:rPr>
              <w:t xml:space="preserve">为减小设备或线路故障对业务的影响、提高网络的可用性，需支持BFD for BGP/IS-IS/OSPF/LDP/VRRP/Static Route/RIPng/OSPFV3/BGP4+/ISISv6，BFD与RSVP联动实现TE隧道切换、BFD与三层聚合组合实现快速切换</w:t>
            </w:r>
            <w:r/>
          </w:p>
        </w:tc>
      </w:tr>
      <w:tr>
        <w:trPr>
          <w:trHeight w:val="963"/>
        </w:trPr>
        <w:tc>
          <w:tcPr>
            <w:tcW w:w="1664" w:type="dxa"/>
            <w:vAlign w:val="center"/>
            <w:textDirection w:val="lrTb"/>
            <w:noWrap w:val="false"/>
          </w:tcPr>
          <w:p>
            <w:pPr>
              <w:pStyle w:val="903"/>
              <w:rPr>
                <w:color w:val="000000"/>
              </w:rPr>
            </w:pPr>
            <w:r>
              <w:rPr>
                <w:color w:val="000000"/>
              </w:rPr>
              <w:t xml:space="preserve">新技术支持</w:t>
            </w:r>
            <w:r/>
          </w:p>
        </w:tc>
        <w:tc>
          <w:tcPr>
            <w:tcW w:w="6983" w:type="dxa"/>
            <w:vAlign w:val="center"/>
            <w:textDirection w:val="lrTb"/>
            <w:noWrap w:val="false"/>
          </w:tcPr>
          <w:p>
            <w:pPr>
              <w:pStyle w:val="903"/>
              <w:rPr>
                <w:color w:val="000000"/>
              </w:rPr>
            </w:pPr>
            <w:r>
              <w:rPr>
                <w:color w:val="000000"/>
              </w:rPr>
              <w:t xml:space="preserve">支持BGP-LS等网络信息收集协议。支持NETCONF、Openflow协议</w:t>
            </w:r>
            <w:r/>
          </w:p>
          <w:p>
            <w:pPr>
              <w:pStyle w:val="903"/>
              <w:rPr>
                <w:color w:val="000000"/>
              </w:rPr>
            </w:pPr>
            <w:r>
              <w:rPr>
                <w:color w:val="000000"/>
              </w:rPr>
              <w:t xml:space="preserve">支持广域网优化功能，实现WAN链路数据传输加速，获得超过实际物理链路带宽的传输速率，并实现数据冗余消除</w:t>
            </w:r>
            <w:r/>
          </w:p>
        </w:tc>
      </w:tr>
      <w:tr>
        <w:trPr>
          <w:cantSplit/>
          <w:trHeight w:val="1158"/>
        </w:trPr>
        <w:tc>
          <w:tcPr>
            <w:tcW w:w="1664" w:type="dxa"/>
            <w:vAlign w:val="center"/>
            <w:textDirection w:val="lrTb"/>
            <w:noWrap w:val="false"/>
          </w:tcPr>
          <w:p>
            <w:pPr>
              <w:pStyle w:val="903"/>
              <w:rPr>
                <w:color w:val="000000"/>
              </w:rPr>
            </w:pPr>
            <w:r>
              <w:rPr>
                <w:color w:val="000000"/>
              </w:rPr>
              <w:t xml:space="preserve">安全性要求</w:t>
            </w:r>
            <w:r/>
          </w:p>
        </w:tc>
        <w:tc>
          <w:tcPr>
            <w:tcW w:w="6983" w:type="dxa"/>
            <w:vAlign w:val="center"/>
            <w:textDirection w:val="lrTb"/>
            <w:noWrap w:val="false"/>
          </w:tcPr>
          <w:p>
            <w:pPr>
              <w:pStyle w:val="903"/>
              <w:rPr>
                <w:color w:val="000000"/>
              </w:rPr>
            </w:pPr>
            <w:r>
              <w:rPr>
                <w:color w:val="000000"/>
              </w:rPr>
              <w:t xml:space="preserve">支持用户分级管理和口令保护。</w:t>
            </w:r>
            <w:r/>
          </w:p>
          <w:p>
            <w:pPr>
              <w:pStyle w:val="903"/>
              <w:rPr>
                <w:color w:val="000000"/>
              </w:rPr>
            </w:pPr>
            <w:r>
              <w:rPr>
                <w:color w:val="000000"/>
              </w:rPr>
              <w:t xml:space="preserve">支持SSHv2</w:t>
            </w:r>
            <w:r/>
          </w:p>
          <w:p>
            <w:pPr>
              <w:pStyle w:val="903"/>
              <w:rPr>
                <w:color w:val="000000"/>
              </w:rPr>
            </w:pPr>
            <w:r>
              <w:rPr>
                <w:color w:val="000000"/>
              </w:rPr>
              <w:t xml:space="preserve">支持AAA安全认证协议</w:t>
            </w:r>
            <w:r/>
          </w:p>
          <w:p>
            <w:pPr>
              <w:pStyle w:val="903"/>
              <w:rPr>
                <w:color w:val="000000"/>
              </w:rPr>
            </w:pPr>
            <w:r>
              <w:rPr>
                <w:color w:val="000000"/>
              </w:rPr>
              <w:t xml:space="preserve">支持ACL报文过滤</w:t>
            </w:r>
            <w:r/>
          </w:p>
        </w:tc>
      </w:tr>
      <w:tr>
        <w:trPr>
          <w:cantSplit/>
          <w:trHeight w:val="1407"/>
        </w:trPr>
        <w:tc>
          <w:tcPr>
            <w:tcW w:w="1664" w:type="dxa"/>
            <w:vAlign w:val="center"/>
            <w:textDirection w:val="lrTb"/>
            <w:noWrap w:val="false"/>
          </w:tcPr>
          <w:p>
            <w:pPr>
              <w:pStyle w:val="903"/>
              <w:rPr>
                <w:color w:val="000000"/>
              </w:rPr>
            </w:pPr>
            <w:r>
              <w:rPr>
                <w:color w:val="000000"/>
              </w:rPr>
              <w:t xml:space="preserve">配置管理及维护要求</w:t>
            </w:r>
            <w:r/>
          </w:p>
        </w:tc>
        <w:tc>
          <w:tcPr>
            <w:tcW w:w="6983" w:type="dxa"/>
            <w:vAlign w:val="center"/>
            <w:textDirection w:val="lrTb"/>
            <w:noWrap w:val="false"/>
          </w:tcPr>
          <w:p>
            <w:pPr>
              <w:pStyle w:val="903"/>
              <w:rPr>
                <w:color w:val="000000"/>
              </w:rPr>
            </w:pPr>
            <w:r>
              <w:rPr>
                <w:color w:val="000000"/>
              </w:rPr>
              <w:t xml:space="preserve">支持NTP时钟</w:t>
            </w:r>
            <w:r/>
          </w:p>
          <w:p>
            <w:pPr>
              <w:pStyle w:val="903"/>
              <w:rPr>
                <w:color w:val="000000"/>
              </w:rPr>
            </w:pPr>
            <w:r>
              <w:rPr>
                <w:color w:val="000000"/>
              </w:rPr>
              <w:t xml:space="preserve">支持SNMP V1/V2/V3</w:t>
            </w:r>
            <w:r/>
          </w:p>
          <w:p>
            <w:pPr>
              <w:pStyle w:val="903"/>
              <w:rPr>
                <w:color w:val="000000"/>
              </w:rPr>
            </w:pPr>
            <w:r>
              <w:rPr>
                <w:color w:val="000000"/>
              </w:rPr>
              <w:t xml:space="preserve">支持Netstream功能,本次要求实际配置具备Netstream功能的硬件板卡或功能license</w:t>
            </w:r>
            <w:r/>
          </w:p>
          <w:p>
            <w:pPr>
              <w:pStyle w:val="903"/>
              <w:rPr>
                <w:color w:val="000000"/>
              </w:rPr>
            </w:pPr>
            <w:r>
              <w:rPr>
                <w:color w:val="000000"/>
              </w:rPr>
              <w:t xml:space="preserve">支持多日志主机功能</w:t>
            </w:r>
            <w:r/>
          </w:p>
        </w:tc>
      </w:tr>
      <w:tr>
        <w:trPr>
          <w:cantSplit/>
          <w:trHeight w:val="1726"/>
        </w:trPr>
        <w:tc>
          <w:tcPr>
            <w:tcW w:w="1664" w:type="dxa"/>
            <w:vAlign w:val="center"/>
            <w:textDirection w:val="lrTb"/>
            <w:noWrap w:val="false"/>
          </w:tcPr>
          <w:p>
            <w:pPr>
              <w:pStyle w:val="903"/>
              <w:rPr>
                <w:color w:val="000000"/>
              </w:rPr>
            </w:pPr>
            <w:r>
              <w:rPr>
                <w:color w:val="000000"/>
              </w:rPr>
              <w:t xml:space="preserve">路由协议</w:t>
            </w:r>
            <w:r/>
          </w:p>
        </w:tc>
        <w:tc>
          <w:tcPr>
            <w:tcW w:w="6983" w:type="dxa"/>
            <w:vAlign w:val="center"/>
            <w:textDirection w:val="lrTb"/>
            <w:noWrap w:val="false"/>
          </w:tcPr>
          <w:p>
            <w:pPr>
              <w:pStyle w:val="903"/>
              <w:rPr>
                <w:color w:val="000000"/>
              </w:rPr>
            </w:pPr>
            <w:r>
              <w:rPr>
                <w:color w:val="000000"/>
              </w:rPr>
              <w:t xml:space="preserve">支持静态路由、RIP、OSPF、OSPFv3、IS-IS、 IS-ISv6、BGP-4、BGP4+等路由协议</w:t>
            </w:r>
            <w:r/>
          </w:p>
          <w:p>
            <w:pPr>
              <w:pStyle w:val="903"/>
              <w:rPr>
                <w:color w:val="000000"/>
              </w:rPr>
            </w:pPr>
            <w:r>
              <w:rPr>
                <w:color w:val="000000"/>
              </w:rPr>
              <w:t xml:space="preserve">支持VRRP、VRRPv3</w:t>
            </w:r>
            <w:r/>
          </w:p>
          <w:p>
            <w:pPr>
              <w:pStyle w:val="903"/>
              <w:rPr>
                <w:color w:val="000000"/>
              </w:rPr>
            </w:pPr>
            <w:r>
              <w:rPr>
                <w:color w:val="000000"/>
              </w:rPr>
              <w:t xml:space="preserve">支持PIM-SM、PIM-SSM、MSDP、MBGP、Anycast-RP等路由协议</w:t>
            </w:r>
            <w:r/>
          </w:p>
          <w:p>
            <w:pPr>
              <w:pStyle w:val="903"/>
              <w:rPr>
                <w:color w:val="000000"/>
              </w:rPr>
            </w:pPr>
            <w:r>
              <w:rPr>
                <w:color w:val="000000"/>
              </w:rPr>
              <w:t xml:space="preserve">支持IGMP V1/V2/V3、IGMP Snooping v1/2/3</w:t>
            </w:r>
            <w:r/>
          </w:p>
          <w:p>
            <w:pPr>
              <w:pStyle w:val="903"/>
              <w:rPr>
                <w:color w:val="000000"/>
              </w:rPr>
            </w:pPr>
            <w:r>
              <w:rPr>
                <w:color w:val="000000"/>
              </w:rPr>
              <w:t xml:space="preserve">支持二层MPLS VPN功能</w:t>
            </w:r>
            <w:r/>
          </w:p>
        </w:tc>
      </w:tr>
      <w:tr>
        <w:trPr>
          <w:cantSplit/>
          <w:trHeight w:val="1726"/>
        </w:trPr>
        <w:tc>
          <w:tcPr>
            <w:tcW w:w="1664" w:type="dxa"/>
            <w:vAlign w:val="center"/>
            <w:textDirection w:val="lrTb"/>
            <w:noWrap w:val="false"/>
          </w:tcPr>
          <w:p>
            <w:pPr>
              <w:pStyle w:val="903"/>
              <w:rPr>
                <w:color w:val="000000"/>
              </w:rPr>
            </w:pPr>
            <w:r>
              <w:rPr>
                <w:color w:val="000000"/>
              </w:rPr>
              <w:t xml:space="preserve">QOS</w:t>
            </w:r>
            <w:r/>
          </w:p>
        </w:tc>
        <w:tc>
          <w:tcPr>
            <w:tcW w:w="6983" w:type="dxa"/>
            <w:vAlign w:val="center"/>
            <w:textDirection w:val="lrTb"/>
            <w:noWrap w:val="false"/>
          </w:tcPr>
          <w:p>
            <w:pPr>
              <w:pStyle w:val="903"/>
              <w:rPr>
                <w:color w:val="000000"/>
              </w:rPr>
            </w:pPr>
            <w:r>
              <w:rPr>
                <w:color w:val="000000"/>
              </w:rPr>
              <w:t xml:space="preserve">设备支持H-QOS功能，且支持五级队列调度</w:t>
            </w:r>
            <w:r/>
          </w:p>
          <w:p>
            <w:pPr>
              <w:pStyle w:val="903"/>
              <w:rPr>
                <w:color w:val="000000"/>
              </w:rPr>
            </w:pPr>
            <w:r>
              <w:rPr>
                <w:color w:val="000000"/>
              </w:rPr>
              <w:t xml:space="preserve">设备支持分层CAR功能，实现不同业务分别限速后对总带宽限速，且能实现不同业务对空闲带宽的抢占</w:t>
            </w:r>
            <w:r/>
          </w:p>
          <w:p>
            <w:pPr>
              <w:pStyle w:val="903"/>
              <w:rPr>
                <w:color w:val="000000"/>
              </w:rPr>
            </w:pPr>
            <w:r>
              <w:rPr>
                <w:color w:val="000000"/>
              </w:rPr>
              <w:t xml:space="preserve">支持流量整形SHAPPING</w:t>
            </w:r>
            <w:r/>
          </w:p>
          <w:p>
            <w:pPr>
              <w:pStyle w:val="903"/>
              <w:rPr>
                <w:color w:val="000000"/>
              </w:rPr>
            </w:pPr>
            <w:r>
              <w:rPr>
                <w:color w:val="000000"/>
              </w:rPr>
              <w:t xml:space="preserve">支持WRED拥塞避免</w:t>
            </w:r>
            <w:r/>
          </w:p>
          <w:p>
            <w:pPr>
              <w:pStyle w:val="903"/>
              <w:rPr>
                <w:color w:val="000000"/>
              </w:rPr>
            </w:pPr>
            <w:r>
              <w:rPr>
                <w:color w:val="000000"/>
              </w:rPr>
              <w:t xml:space="preserve">支持PQ/WFQ/CBWFQ等队列调度机制</w:t>
            </w:r>
            <w:r/>
          </w:p>
        </w:tc>
      </w:tr>
      <w:tr>
        <w:trPr>
          <w:cantSplit/>
          <w:trHeight w:val="285"/>
        </w:trPr>
        <w:tc>
          <w:tcPr>
            <w:tcW w:w="1664" w:type="dxa"/>
            <w:vAlign w:val="center"/>
            <w:vMerge w:val="restart"/>
            <w:textDirection w:val="lrTb"/>
            <w:noWrap w:val="false"/>
          </w:tcPr>
          <w:p>
            <w:pPr>
              <w:pStyle w:val="903"/>
              <w:rPr>
                <w:b/>
                <w:i/>
                <w:iCs/>
                <w:color w:val="000000"/>
                <w:u w:val="single"/>
              </w:rPr>
            </w:pPr>
            <w:r>
              <w:rPr>
                <w:b/>
                <w:i/>
                <w:iCs/>
                <w:color w:val="000000"/>
                <w:u w:val="single"/>
              </w:rPr>
              <w:t xml:space="preserve">配置要求</w:t>
            </w:r>
            <w:r/>
          </w:p>
        </w:tc>
        <w:tc>
          <w:tcPr>
            <w:tcW w:w="6983" w:type="dxa"/>
            <w:vAlign w:val="center"/>
            <w:textDirection w:val="lrTb"/>
            <w:noWrap w:val="false"/>
          </w:tcPr>
          <w:p>
            <w:pPr>
              <w:pStyle w:val="903"/>
              <w:rPr>
                <w:b/>
                <w:i/>
                <w:iCs/>
                <w:color w:val="000000"/>
                <w:u w:val="single"/>
              </w:rPr>
            </w:pPr>
            <w:r>
              <w:rPr>
                <w:b/>
                <w:i/>
                <w:iCs/>
                <w:color w:val="000000"/>
                <w:u w:val="single"/>
              </w:rPr>
              <w:t xml:space="preserve">配备主控板≥2个</w:t>
            </w:r>
            <w:r/>
          </w:p>
        </w:tc>
      </w:tr>
      <w:tr>
        <w:trPr>
          <w:cantSplit/>
          <w:trHeight w:val="285"/>
        </w:trPr>
        <w:tc>
          <w:tcPr>
            <w:tcW w:w="1664" w:type="dxa"/>
            <w:vAlign w:val="center"/>
            <w:vMerge w:val="continue"/>
            <w:textDirection w:val="lrTb"/>
            <w:noWrap w:val="false"/>
          </w:tcPr>
          <w:p>
            <w:pPr>
              <w:pStyle w:val="903"/>
              <w:rPr>
                <w:b/>
                <w:i/>
                <w:iCs/>
                <w:color w:val="000000"/>
                <w:u w:val="single"/>
              </w:rPr>
            </w:pPr>
            <w:r>
              <w:rPr>
                <w:b/>
                <w:i/>
                <w:iCs/>
                <w:color w:val="000000"/>
                <w:u w:val="single"/>
              </w:rPr>
            </w:r>
            <w:r/>
          </w:p>
        </w:tc>
        <w:tc>
          <w:tcPr>
            <w:tcW w:w="6983" w:type="dxa"/>
            <w:vAlign w:val="center"/>
            <w:textDirection w:val="lrTb"/>
            <w:noWrap w:val="false"/>
          </w:tcPr>
          <w:p>
            <w:pPr>
              <w:pStyle w:val="903"/>
              <w:rPr>
                <w:b/>
                <w:i/>
                <w:iCs/>
                <w:color w:val="000000"/>
                <w:u w:val="single"/>
              </w:rPr>
            </w:pPr>
            <w:r>
              <w:rPr>
                <w:b/>
                <w:i/>
                <w:iCs/>
                <w:color w:val="000000"/>
                <w:u w:val="single"/>
              </w:rPr>
              <w:t xml:space="preserve">配备冗余 220V 交流电源≥2个</w:t>
            </w:r>
            <w:r/>
          </w:p>
        </w:tc>
      </w:tr>
      <w:tr>
        <w:trPr>
          <w:cantSplit/>
          <w:trHeight w:val="285"/>
        </w:trPr>
        <w:tc>
          <w:tcPr>
            <w:tcW w:w="1664" w:type="dxa"/>
            <w:vAlign w:val="center"/>
            <w:vMerge w:val="continue"/>
            <w:textDirection w:val="lrTb"/>
            <w:noWrap w:val="false"/>
          </w:tcPr>
          <w:p>
            <w:pPr>
              <w:pStyle w:val="903"/>
              <w:rPr>
                <w:b/>
                <w:i/>
                <w:iCs/>
                <w:color w:val="000000"/>
                <w:u w:val="single"/>
              </w:rPr>
            </w:pPr>
            <w:r>
              <w:rPr>
                <w:b/>
                <w:i/>
                <w:iCs/>
                <w:color w:val="000000"/>
                <w:u w:val="single"/>
              </w:rPr>
            </w:r>
            <w:r/>
          </w:p>
        </w:tc>
        <w:tc>
          <w:tcPr>
            <w:tcW w:w="6983" w:type="dxa"/>
            <w:vAlign w:val="center"/>
            <w:textDirection w:val="lrTb"/>
            <w:noWrap w:val="false"/>
          </w:tcPr>
          <w:p>
            <w:pPr>
              <w:pStyle w:val="903"/>
              <w:rPr>
                <w:b/>
                <w:i/>
                <w:iCs/>
                <w:color w:val="000000"/>
                <w:u w:val="single"/>
              </w:rPr>
            </w:pPr>
            <w:r>
              <w:rPr>
                <w:b/>
                <w:i/>
                <w:iCs/>
                <w:color w:val="000000"/>
                <w:u w:val="single"/>
              </w:rPr>
              <w:t xml:space="preserve">8个万兆光口，20个千兆光口</w:t>
            </w:r>
            <w:r/>
          </w:p>
        </w:tc>
      </w:tr>
      <w:tr>
        <w:trPr>
          <w:cantSplit/>
          <w:trHeight w:val="285"/>
        </w:trPr>
        <w:tc>
          <w:tcPr>
            <w:tcW w:w="1664" w:type="dxa"/>
            <w:vAlign w:val="center"/>
            <w:textDirection w:val="lrTb"/>
            <w:noWrap w:val="false"/>
          </w:tcPr>
          <w:p>
            <w:pPr>
              <w:pStyle w:val="903"/>
              <w:rPr>
                <w:b/>
                <w:i/>
                <w:iCs/>
                <w:color w:val="000000"/>
                <w:u w:val="single"/>
              </w:rPr>
            </w:pPr>
            <w:r>
              <w:rPr>
                <w:b/>
                <w:i/>
                <w:iCs/>
                <w:color w:val="000000"/>
                <w:u w:val="single"/>
              </w:rPr>
              <w:t xml:space="preserve">售后服务</w:t>
            </w:r>
            <w:r/>
          </w:p>
        </w:tc>
        <w:tc>
          <w:tcPr>
            <w:tcW w:w="6983" w:type="dxa"/>
            <w:vAlign w:val="center"/>
            <w:textDirection w:val="lrTb"/>
            <w:noWrap w:val="false"/>
          </w:tcPr>
          <w:p>
            <w:pPr>
              <w:pStyle w:val="903"/>
              <w:rPr>
                <w:b/>
                <w:i/>
                <w:iCs/>
                <w:color w:val="000000"/>
                <w:u w:val="single"/>
                <w:lang w:eastAsia="en-US"/>
              </w:rPr>
            </w:pPr>
            <w:r>
              <w:rPr>
                <w:b/>
                <w:i/>
                <w:iCs/>
                <w:color w:val="000000"/>
                <w:u w:val="single"/>
                <w:lang w:eastAsia="en-US"/>
              </w:rPr>
              <w:t xml:space="preserve">提供</w:t>
            </w:r>
            <w:r>
              <w:rPr>
                <w:b/>
                <w:i/>
                <w:iCs/>
                <w:color w:val="000000"/>
                <w:u w:val="single"/>
              </w:rPr>
              <w:t xml:space="preserve">项目服务期内的</w:t>
            </w:r>
            <w:r>
              <w:rPr>
                <w:b/>
                <w:i/>
                <w:iCs/>
                <w:color w:val="000000"/>
                <w:u w:val="single"/>
                <w:lang w:eastAsia="en-US"/>
              </w:rPr>
              <w:t xml:space="preserve">硬件质保及软件升级服务</w:t>
            </w:r>
            <w:r/>
          </w:p>
        </w:tc>
      </w:tr>
    </w:tbl>
    <w:p>
      <w:pPr>
        <w:pStyle w:val="907"/>
        <w:numPr>
          <w:ilvl w:val="0"/>
          <w:numId w:val="7"/>
        </w:numPr>
        <w:spacing w:before="0" w:after="0" w:line="360" w:lineRule="auto"/>
        <w:rPr>
          <w:rFonts w:ascii="Times New Roman" w:hAnsi="Times New Roman"/>
          <w:color w:val="000000"/>
        </w:rPr>
      </w:pPr>
      <w:r>
        <w:rPr>
          <w:rFonts w:ascii="Times New Roman" w:hAnsi="Times New Roman"/>
          <w:color w:val="000000"/>
        </w:rPr>
        <w:t xml:space="preserve">省级防火墙</w:t>
      </w:r>
      <w:r/>
    </w:p>
    <w:tbl>
      <w:tblPr>
        <w:tblW w:w="84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4"/>
        <w:gridCol w:w="6806"/>
      </w:tblGrid>
      <w:tr>
        <w:trPr>
          <w:trHeight w:val="367"/>
        </w:trPr>
        <w:tc>
          <w:tcPr>
            <w:tcW w:w="1644" w:type="dxa"/>
            <w:vAlign w:val="center"/>
            <w:textDirection w:val="lrTb"/>
            <w:noWrap w:val="false"/>
          </w:tcPr>
          <w:p>
            <w:pPr>
              <w:pStyle w:val="903"/>
              <w:rPr>
                <w:color w:val="000000"/>
              </w:rPr>
            </w:pPr>
            <w:r/>
            <w:bookmarkStart w:id="197" w:name="_Hlk55476375"/>
            <w:r>
              <w:rPr>
                <w:color w:val="000000"/>
              </w:rPr>
              <w:t xml:space="preserve">技术指标</w:t>
            </w:r>
            <w:r/>
          </w:p>
        </w:tc>
        <w:tc>
          <w:tcPr>
            <w:tcW w:w="6806" w:type="dxa"/>
            <w:vAlign w:val="center"/>
            <w:textDirection w:val="lrTb"/>
            <w:noWrap w:val="false"/>
          </w:tcPr>
          <w:p>
            <w:pPr>
              <w:pStyle w:val="903"/>
              <w:rPr>
                <w:color w:val="000000"/>
              </w:rPr>
            </w:pPr>
            <w:r>
              <w:rPr>
                <w:color w:val="000000"/>
              </w:rPr>
              <w:t xml:space="preserve">参数要求</w:t>
            </w:r>
            <w:r/>
          </w:p>
        </w:tc>
      </w:tr>
      <w:tr>
        <w:trPr>
          <w:cantSplit/>
          <w:trHeight w:val="520"/>
        </w:trPr>
        <w:tc>
          <w:tcPr>
            <w:tcW w:w="1644" w:type="dxa"/>
            <w:vAlign w:val="center"/>
            <w:vMerge w:val="restart"/>
            <w:textDirection w:val="lrTb"/>
            <w:noWrap w:val="false"/>
          </w:tcPr>
          <w:p>
            <w:pPr>
              <w:pStyle w:val="903"/>
              <w:rPr>
                <w:b/>
                <w:i/>
                <w:iCs/>
                <w:color w:val="000000"/>
                <w:u w:val="single"/>
              </w:rPr>
            </w:pPr>
            <w:r>
              <w:rPr>
                <w:b/>
                <w:i/>
                <w:iCs/>
                <w:color w:val="000000"/>
                <w:u w:val="single"/>
              </w:rPr>
              <w:t xml:space="preserve">硬件规格</w:t>
            </w:r>
            <w:r/>
          </w:p>
        </w:tc>
        <w:tc>
          <w:tcPr>
            <w:tcW w:w="6806" w:type="dxa"/>
            <w:vAlign w:val="center"/>
            <w:textDirection w:val="lrTb"/>
            <w:noWrap w:val="false"/>
          </w:tcPr>
          <w:p>
            <w:pPr>
              <w:pStyle w:val="903"/>
              <w:rPr>
                <w:b/>
                <w:i/>
                <w:iCs/>
                <w:color w:val="000000"/>
                <w:u w:val="single"/>
              </w:rPr>
            </w:pPr>
            <w:r>
              <w:rPr>
                <w:b/>
                <w:i/>
                <w:iCs/>
                <w:color w:val="000000"/>
                <w:u w:val="single"/>
              </w:rPr>
              <w:t xml:space="preserve">机架式硬件设备，基于高性能硬件平台和专业安全操作系统，多核处理器硬件架构；标配冗余双电源；配置2T SSD硬盘。</w:t>
            </w:r>
            <w:r/>
          </w:p>
        </w:tc>
      </w:tr>
      <w:tr>
        <w:trPr>
          <w:cantSplit/>
          <w:trHeight w:val="283"/>
        </w:trPr>
        <w:tc>
          <w:tcPr>
            <w:tcW w:w="1644" w:type="dxa"/>
            <w:vAlign w:val="center"/>
            <w:vMerge w:val="continue"/>
            <w:textDirection w:val="lrTb"/>
            <w:noWrap w:val="false"/>
          </w:tcPr>
          <w:p>
            <w:pPr>
              <w:pStyle w:val="903"/>
              <w:rPr>
                <w:i/>
                <w:iCs/>
                <w:color w:val="000000"/>
                <w:u w:val="single"/>
              </w:rPr>
            </w:pPr>
            <w:r>
              <w:rPr>
                <w:i/>
                <w:iCs/>
                <w:color w:val="000000"/>
                <w:u w:val="single"/>
              </w:rPr>
            </w:r>
            <w:r/>
          </w:p>
        </w:tc>
        <w:tc>
          <w:tcPr>
            <w:tcBorders>
              <w:top w:val="none" w:color="000000" w:sz="4" w:space="0"/>
              <w:left w:val="none" w:color="000000" w:sz="4" w:space="0"/>
              <w:bottom w:val="single" w:color="000000" w:sz="4" w:space="0"/>
              <w:right w:val="single" w:color="000000" w:sz="4" w:space="0"/>
            </w:tcBorders>
            <w:tcW w:w="6806" w:type="dxa"/>
            <w:vAlign w:val="center"/>
            <w:textDirection w:val="lrTb"/>
            <w:noWrap w:val="false"/>
          </w:tcPr>
          <w:p>
            <w:pPr>
              <w:pStyle w:val="903"/>
              <w:rPr>
                <w:b/>
                <w:i/>
                <w:iCs/>
                <w:color w:val="000000"/>
                <w:u w:val="single"/>
              </w:rPr>
            </w:pPr>
            <w:r>
              <w:rPr>
                <w:b/>
                <w:i/>
                <w:iCs/>
                <w:color w:val="000000"/>
                <w:u w:val="single"/>
              </w:rPr>
              <w:t xml:space="preserve">配置≥8个千兆电口（含四对bypass接口），至少16个万兆SFP+光口、2个40G光口；提供RJ45串口≥1个、HA口≥1个、USB3.0口≥2个、MGT口≥1个，1个扩展槽位。</w:t>
            </w:r>
            <w:r/>
          </w:p>
        </w:tc>
      </w:tr>
      <w:tr>
        <w:trPr>
          <w:cantSplit/>
          <w:trHeight w:val="325"/>
        </w:trPr>
        <w:tc>
          <w:tcPr>
            <w:tcW w:w="1644" w:type="dxa"/>
            <w:vAlign w:val="center"/>
            <w:vMerge w:val="restart"/>
            <w:textDirection w:val="lrTb"/>
            <w:noWrap w:val="false"/>
          </w:tcPr>
          <w:p>
            <w:pPr>
              <w:pStyle w:val="903"/>
              <w:rPr>
                <w:iCs/>
                <w:color w:val="000000"/>
              </w:rPr>
            </w:pPr>
            <w:r>
              <w:rPr>
                <w:iCs/>
                <w:color w:val="000000"/>
              </w:rPr>
              <w:t xml:space="preserve">性能</w:t>
            </w:r>
            <w:r/>
          </w:p>
        </w:tc>
        <w:tc>
          <w:tcPr>
            <w:tcBorders>
              <w:top w:val="none" w:color="000000" w:sz="4" w:space="0"/>
              <w:left w:val="none" w:color="000000" w:sz="4" w:space="0"/>
              <w:bottom w:val="single" w:color="000000" w:sz="4" w:space="0"/>
              <w:right w:val="single" w:color="000000" w:sz="4" w:space="0"/>
            </w:tcBorders>
            <w:tcW w:w="6806" w:type="dxa"/>
            <w:vAlign w:val="center"/>
            <w:textDirection w:val="lrTb"/>
            <w:noWrap w:val="false"/>
          </w:tcPr>
          <w:p>
            <w:pPr>
              <w:pStyle w:val="903"/>
              <w:rPr>
                <w:b/>
                <w:i/>
                <w:iCs/>
                <w:color w:val="000000"/>
                <w:u w:val="single"/>
              </w:rPr>
            </w:pPr>
            <w:r>
              <w:rPr>
                <w:b/>
                <w:i/>
                <w:iCs/>
                <w:color w:val="000000"/>
                <w:u w:val="single"/>
              </w:rPr>
              <w:t xml:space="preserve">网络吞吐量≥60Gbps，新建并发连接≥80万/s； </w:t>
            </w:r>
            <w:r/>
          </w:p>
        </w:tc>
      </w:tr>
      <w:tr>
        <w:trPr>
          <w:cantSplit/>
          <w:trHeight w:val="325"/>
        </w:trPr>
        <w:tc>
          <w:tcPr>
            <w:tcW w:w="1644" w:type="dxa"/>
            <w:vAlign w:val="center"/>
            <w:vMerge w:val="continue"/>
            <w:textDirection w:val="lrTb"/>
            <w:noWrap w:val="false"/>
          </w:tcPr>
          <w:p>
            <w:pPr>
              <w:pStyle w:val="903"/>
              <w:rPr>
                <w:i/>
                <w:iCs/>
                <w:color w:val="000000"/>
                <w:u w:val="single"/>
              </w:rPr>
            </w:pPr>
            <w:r>
              <w:rPr>
                <w:i/>
                <w:iCs/>
                <w:color w:val="000000"/>
                <w:u w:val="single"/>
              </w:rPr>
            </w:r>
            <w:r/>
          </w:p>
        </w:tc>
        <w:tc>
          <w:tcPr>
            <w:tcBorders>
              <w:top w:val="none" w:color="000000" w:sz="4" w:space="0"/>
              <w:left w:val="none" w:color="000000" w:sz="4" w:space="0"/>
              <w:bottom w:val="single" w:color="000000" w:sz="4" w:space="0"/>
              <w:right w:val="single" w:color="000000" w:sz="4" w:space="0"/>
            </w:tcBorders>
            <w:tcW w:w="6806" w:type="dxa"/>
            <w:vAlign w:val="center"/>
            <w:textDirection w:val="lrTb"/>
            <w:noWrap w:val="false"/>
          </w:tcPr>
          <w:p>
            <w:pPr>
              <w:pStyle w:val="903"/>
              <w:rPr>
                <w:i/>
                <w:iCs/>
                <w:color w:val="000000"/>
                <w:u w:val="single"/>
              </w:rPr>
            </w:pPr>
            <w:r>
              <w:rPr>
                <w:iCs/>
                <w:color w:val="000000"/>
              </w:rPr>
              <w:t xml:space="preserve">IPS吞吐量≥35Gbps，AV吞吐量≥20Gbps</w:t>
            </w:r>
            <w:r>
              <w:rPr>
                <w:i/>
                <w:iCs/>
                <w:color w:val="000000"/>
                <w:u w:val="single"/>
              </w:rPr>
            </w:r>
            <w:r/>
          </w:p>
        </w:tc>
      </w:tr>
      <w:tr>
        <w:trPr>
          <w:cantSplit/>
          <w:trHeight w:val="325"/>
        </w:trPr>
        <w:tc>
          <w:tcPr>
            <w:tcW w:w="1644" w:type="dxa"/>
            <w:vAlign w:val="center"/>
            <w:vMerge w:val="continue"/>
            <w:textDirection w:val="lrTb"/>
            <w:noWrap w:val="false"/>
          </w:tcPr>
          <w:p>
            <w:pPr>
              <w:pStyle w:val="903"/>
              <w:rPr>
                <w:i/>
                <w:iCs/>
                <w:color w:val="000000"/>
                <w:u w:val="single"/>
              </w:rPr>
            </w:pPr>
            <w:r>
              <w:rPr>
                <w:i/>
                <w:iCs/>
                <w:color w:val="000000"/>
                <w:u w:val="single"/>
              </w:rPr>
            </w:r>
            <w:r/>
          </w:p>
        </w:tc>
        <w:tc>
          <w:tcPr>
            <w:tcBorders>
              <w:top w:val="none" w:color="000000" w:sz="4" w:space="0"/>
              <w:left w:val="none" w:color="000000" w:sz="4" w:space="0"/>
              <w:bottom w:val="single" w:color="000000" w:sz="4" w:space="0"/>
              <w:right w:val="single" w:color="000000" w:sz="4" w:space="0"/>
            </w:tcBorders>
            <w:tcW w:w="6806" w:type="dxa"/>
            <w:vAlign w:val="center"/>
            <w:textDirection w:val="lrTb"/>
            <w:noWrap w:val="false"/>
          </w:tcPr>
          <w:p>
            <w:pPr>
              <w:pStyle w:val="903"/>
              <w:rPr>
                <w:i/>
                <w:iCs/>
                <w:color w:val="000000"/>
                <w:u w:val="single"/>
              </w:rPr>
            </w:pPr>
            <w:r>
              <w:rPr>
                <w:iCs/>
                <w:color w:val="000000"/>
              </w:rPr>
              <w:t xml:space="preserve">IPv6并发连接数≥2000万，IPSec隧道数≥20000个，IPsec VPN吞吐量≥36Gbps，并发SSL VPN用户≥6个</w:t>
            </w:r>
            <w:r>
              <w:rPr>
                <w:i/>
                <w:iCs/>
                <w:color w:val="000000"/>
                <w:u w:val="single"/>
              </w:rPr>
            </w:r>
            <w:r/>
          </w:p>
        </w:tc>
      </w:tr>
      <w:tr>
        <w:trPr>
          <w:cantSplit/>
          <w:trHeight w:val="90"/>
        </w:trPr>
        <w:tc>
          <w:tcPr>
            <w:tcW w:w="1644" w:type="dxa"/>
            <w:vAlign w:val="center"/>
            <w:vMerge w:val="restart"/>
            <w:textDirection w:val="lrTb"/>
            <w:noWrap w:val="false"/>
          </w:tcPr>
          <w:p>
            <w:pPr>
              <w:pStyle w:val="903"/>
              <w:rPr>
                <w:color w:val="000000"/>
              </w:rPr>
            </w:pPr>
            <w:r>
              <w:rPr>
                <w:color w:val="000000"/>
              </w:rPr>
              <w:t xml:space="preserve">网络适应性</w:t>
            </w:r>
            <w:r/>
          </w:p>
        </w:tc>
        <w:tc>
          <w:tcPr>
            <w:tcW w:w="6806" w:type="dxa"/>
            <w:vAlign w:val="center"/>
            <w:textDirection w:val="lrTb"/>
            <w:noWrap w:val="false"/>
          </w:tcPr>
          <w:p>
            <w:pPr>
              <w:pStyle w:val="903"/>
              <w:rPr>
                <w:color w:val="000000"/>
              </w:rPr>
            </w:pPr>
            <w:r>
              <w:rPr>
                <w:color w:val="000000"/>
              </w:rPr>
              <w:t xml:space="preserve">支持透明、路由、混合、直连（虚拟线）模式</w:t>
            </w:r>
            <w:r/>
          </w:p>
          <w:p>
            <w:pPr>
              <w:pStyle w:val="903"/>
              <w:rPr>
                <w:color w:val="000000"/>
              </w:rPr>
            </w:pPr>
            <w:r>
              <w:rPr>
                <w:color w:val="000000"/>
              </w:rPr>
              <w:t xml:space="preserve">支持对3000种应用的识别和控制</w:t>
            </w:r>
            <w:r/>
          </w:p>
        </w:tc>
      </w:tr>
      <w:tr>
        <w:trPr>
          <w:cantSplit/>
          <w:trHeight w:val="1375"/>
        </w:trPr>
        <w:tc>
          <w:tcPr>
            <w:tcW w:w="1644" w:type="dxa"/>
            <w:vAlign w:val="center"/>
            <w:vMerge w:val="continue"/>
            <w:textDirection w:val="lrTb"/>
            <w:noWrap w:val="false"/>
          </w:tcPr>
          <w:p>
            <w:pPr>
              <w:pStyle w:val="903"/>
              <w:rPr>
                <w:color w:val="000000"/>
              </w:rPr>
            </w:pPr>
            <w:r>
              <w:rPr>
                <w:color w:val="000000"/>
              </w:rPr>
            </w:r>
            <w:r/>
          </w:p>
        </w:tc>
        <w:tc>
          <w:tcPr>
            <w:tcW w:w="6806" w:type="dxa"/>
            <w:vAlign w:val="center"/>
            <w:textDirection w:val="lrTb"/>
            <w:noWrap w:val="false"/>
          </w:tcPr>
          <w:p>
            <w:pPr>
              <w:pStyle w:val="903"/>
              <w:rPr>
                <w:color w:val="000000"/>
              </w:rPr>
            </w:pPr>
            <w:r>
              <w:rPr>
                <w:color w:val="000000"/>
              </w:rPr>
              <w:t xml:space="preserve">支持静态路由、ISP路由，OSPF、BGP、RIP、ISIS、策略路由，策略路由支持基于应用协议的路由功能，根据应用类型进行路由选择</w:t>
            </w:r>
            <w:r/>
          </w:p>
          <w:p>
            <w:pPr>
              <w:pStyle w:val="903"/>
              <w:rPr>
                <w:color w:val="000000"/>
              </w:rPr>
            </w:pPr>
            <w:r>
              <w:rPr>
                <w:color w:val="000000"/>
              </w:rPr>
              <w:t xml:space="preserve">支持BFD 功能，支持BFD与静态路由/OSPF/BGP进行联动。快速检测到与相邻设备间的通信故障，减小设备故障对业务的影响。通过与动态路由协议联动，缩短收敛时间，提升可靠性。</w:t>
            </w:r>
            <w:r/>
          </w:p>
        </w:tc>
      </w:tr>
      <w:tr>
        <w:trPr>
          <w:cantSplit/>
          <w:trHeight w:val="2204"/>
        </w:trPr>
        <w:tc>
          <w:tcPr>
            <w:tcW w:w="1644" w:type="dxa"/>
            <w:vAlign w:val="center"/>
            <w:vMerge w:val="continue"/>
            <w:textDirection w:val="lrTb"/>
            <w:noWrap w:val="false"/>
          </w:tcPr>
          <w:p>
            <w:pPr>
              <w:pStyle w:val="903"/>
              <w:rPr>
                <w:color w:val="000000"/>
              </w:rPr>
            </w:pPr>
            <w:r>
              <w:rPr>
                <w:color w:val="000000"/>
              </w:rPr>
            </w:r>
            <w:r/>
          </w:p>
        </w:tc>
        <w:tc>
          <w:tcPr>
            <w:tcW w:w="6806" w:type="dxa"/>
            <w:vAlign w:val="center"/>
            <w:textDirection w:val="lrTb"/>
            <w:noWrap w:val="false"/>
          </w:tcPr>
          <w:p>
            <w:pPr>
              <w:pStyle w:val="903"/>
              <w:rPr>
                <w:color w:val="000000"/>
              </w:rPr>
            </w:pPr>
            <w:r>
              <w:rPr>
                <w:color w:val="000000"/>
              </w:rPr>
              <w:t xml:space="preserve">支持基于源地址、目的地址、生效时间、应用协议（http、https、mysql、ms-sql、sqlnet、sip等）限制新建连接、并发连接</w:t>
            </w:r>
            <w:r/>
          </w:p>
          <w:p>
            <w:pPr>
              <w:pStyle w:val="903"/>
              <w:rPr>
                <w:color w:val="000000"/>
              </w:rPr>
            </w:pPr>
            <w:r>
              <w:rPr>
                <w:color w:val="000000"/>
              </w:rPr>
              <w:t xml:space="preserve">支持把同一类型的策略通过聚合策略或者策略组的功能进行统一管理；支持策略命中数统计、冗余策略检测功能；支持通过策略助手功能帮助管理员自动生成安全策略。</w:t>
            </w:r>
            <w:r/>
          </w:p>
          <w:p>
            <w:pPr>
              <w:pStyle w:val="903"/>
              <w:rPr>
                <w:color w:val="000000"/>
              </w:rPr>
            </w:pPr>
            <w:r>
              <w:rPr>
                <w:color w:val="000000"/>
              </w:rPr>
              <w:t xml:space="preserve">支持口令认证、短信认证、口令+短信方式的Web认证，短信认证支持阿里云和ACC CEP2.0协议的电信等4种短信服务网关，支持WebAuth认证页面定制</w:t>
            </w:r>
            <w:r/>
          </w:p>
        </w:tc>
      </w:tr>
      <w:tr>
        <w:trPr>
          <w:cantSplit/>
          <w:trHeight w:val="1385"/>
        </w:trPr>
        <w:tc>
          <w:tcPr>
            <w:tcW w:w="1644" w:type="dxa"/>
            <w:vAlign w:val="center"/>
            <w:vMerge w:val="restart"/>
            <w:textDirection w:val="lrTb"/>
            <w:noWrap w:val="false"/>
          </w:tcPr>
          <w:p>
            <w:pPr>
              <w:pStyle w:val="903"/>
              <w:rPr>
                <w:color w:val="000000"/>
              </w:rPr>
            </w:pPr>
            <w:r>
              <w:rPr>
                <w:color w:val="000000"/>
              </w:rPr>
              <w:t xml:space="preserve">NAT功能</w:t>
            </w:r>
            <w:r/>
          </w:p>
        </w:tc>
        <w:tc>
          <w:tcPr>
            <w:tcW w:w="6806" w:type="dxa"/>
            <w:vAlign w:val="center"/>
            <w:textDirection w:val="lrTb"/>
            <w:noWrap w:val="false"/>
          </w:tcPr>
          <w:p>
            <w:pPr>
              <w:pStyle w:val="903"/>
              <w:rPr>
                <w:color w:val="000000"/>
              </w:rPr>
            </w:pPr>
            <w:r>
              <w:rPr>
                <w:color w:val="000000"/>
              </w:rPr>
              <w:t xml:space="preserve">支持多对一、多对多的NAT地址转换，且公网地址池可选择逐一使用和同时使用两种模式。</w:t>
            </w:r>
            <w:r/>
          </w:p>
          <w:p>
            <w:pPr>
              <w:pStyle w:val="903"/>
              <w:rPr>
                <w:color w:val="000000"/>
              </w:rPr>
            </w:pPr>
            <w:r>
              <w:rPr>
                <w:color w:val="000000"/>
              </w:rPr>
              <w:t xml:space="preserve">支持NAT444模式，支持导出NAT444静态映射表</w:t>
            </w:r>
            <w:r/>
          </w:p>
          <w:p>
            <w:pPr>
              <w:pStyle w:val="903"/>
              <w:rPr>
                <w:color w:val="000000"/>
              </w:rPr>
            </w:pPr>
            <w:r>
              <w:rPr>
                <w:color w:val="000000"/>
              </w:rPr>
              <w:t xml:space="preserve">为解决公网IP地址资源问题，要求必须支持NAT的端口扩展技术，支持NAT full cone模式。</w:t>
            </w:r>
            <w:r/>
          </w:p>
        </w:tc>
      </w:tr>
      <w:tr>
        <w:trPr>
          <w:cantSplit/>
          <w:trHeight w:val="268"/>
        </w:trPr>
        <w:tc>
          <w:tcPr>
            <w:tcW w:w="1644" w:type="dxa"/>
            <w:vAlign w:val="center"/>
            <w:vMerge w:val="continue"/>
            <w:textDirection w:val="lrTb"/>
            <w:noWrap w:val="false"/>
          </w:tcPr>
          <w:p>
            <w:pPr>
              <w:pStyle w:val="903"/>
              <w:rPr>
                <w:color w:val="000000"/>
              </w:rPr>
            </w:pPr>
            <w:r>
              <w:rPr>
                <w:color w:val="000000"/>
              </w:rPr>
            </w:r>
            <w:r/>
          </w:p>
        </w:tc>
        <w:tc>
          <w:tcPr>
            <w:tcW w:w="6806" w:type="dxa"/>
            <w:vAlign w:val="center"/>
            <w:textDirection w:val="lrTb"/>
            <w:noWrap w:val="false"/>
          </w:tcPr>
          <w:p>
            <w:pPr>
              <w:pStyle w:val="903"/>
              <w:rPr>
                <w:color w:val="000000"/>
              </w:rPr>
            </w:pPr>
            <w:r>
              <w:rPr>
                <w:color w:val="000000"/>
              </w:rPr>
              <w:t xml:space="preserve">支持NAT公网地址池中IP有效性检测，避免因NAT地址无法使用导致业务中断。</w:t>
            </w:r>
            <w:r/>
          </w:p>
        </w:tc>
      </w:tr>
      <w:tr>
        <w:trPr>
          <w:trHeight w:val="1102"/>
        </w:trPr>
        <w:tc>
          <w:tcPr>
            <w:tcW w:w="1644" w:type="dxa"/>
            <w:vAlign w:val="center"/>
            <w:textDirection w:val="lrTb"/>
            <w:noWrap w:val="false"/>
          </w:tcPr>
          <w:p>
            <w:pPr>
              <w:pStyle w:val="903"/>
              <w:rPr>
                <w:color w:val="000000"/>
              </w:rPr>
            </w:pPr>
            <w:r>
              <w:rPr>
                <w:color w:val="000000"/>
              </w:rPr>
              <w:t xml:space="preserve">攻击防护</w:t>
            </w:r>
            <w:r/>
          </w:p>
        </w:tc>
        <w:tc>
          <w:tcPr>
            <w:tcW w:w="6806" w:type="dxa"/>
            <w:vAlign w:val="center"/>
            <w:textDirection w:val="lrTb"/>
            <w:noWrap w:val="false"/>
          </w:tcPr>
          <w:p>
            <w:pPr>
              <w:pStyle w:val="903"/>
              <w:rPr>
                <w:color w:val="000000"/>
              </w:rPr>
            </w:pPr>
            <w:r>
              <w:rPr>
                <w:color w:val="000000"/>
              </w:rPr>
              <w:t xml:space="preserve">支持SYN Flood、ICMP Flood、UDP Flood、DNS Flood、ARP Flood攻击防护，支持IP地址扫描，端口扫描防护，支持欺骗防护功能、支持IP协议异常报文检测和TCP协议异常报文检测</w:t>
            </w:r>
            <w:r/>
          </w:p>
          <w:p>
            <w:pPr>
              <w:pStyle w:val="903"/>
              <w:rPr>
                <w:color w:val="000000"/>
              </w:rPr>
            </w:pPr>
            <w:r>
              <w:rPr>
                <w:color w:val="000000"/>
              </w:rPr>
              <w:t xml:space="preserve">支持源/目的IP地址白名单</w:t>
            </w:r>
            <w:r/>
          </w:p>
        </w:tc>
      </w:tr>
      <w:tr>
        <w:trPr>
          <w:trHeight w:val="2214"/>
        </w:trPr>
        <w:tc>
          <w:tcPr>
            <w:tcW w:w="1644" w:type="dxa"/>
            <w:vAlign w:val="center"/>
            <w:textDirection w:val="lrTb"/>
            <w:noWrap w:val="false"/>
          </w:tcPr>
          <w:p>
            <w:pPr>
              <w:pStyle w:val="903"/>
              <w:rPr>
                <w:color w:val="000000"/>
              </w:rPr>
            </w:pPr>
            <w:r>
              <w:rPr>
                <w:color w:val="000000"/>
              </w:rPr>
              <w:t xml:space="preserve">入侵防御</w:t>
            </w:r>
            <w:r/>
          </w:p>
        </w:tc>
        <w:tc>
          <w:tcPr>
            <w:tcW w:w="6806" w:type="dxa"/>
            <w:vAlign w:val="center"/>
            <w:textDirection w:val="lrTb"/>
            <w:noWrap w:val="false"/>
          </w:tcPr>
          <w:p>
            <w:pPr>
              <w:pStyle w:val="903"/>
              <w:rPr>
                <w:color w:val="000000"/>
              </w:rPr>
            </w:pPr>
            <w:r>
              <w:rPr>
                <w:rFonts w:hint="eastAsia" w:ascii="宋体" w:hAnsi="宋体" w:cs="宋体"/>
                <w:color w:val="000000"/>
              </w:rPr>
              <w:t xml:space="preserve">★</w:t>
            </w:r>
            <w:r>
              <w:rPr>
                <w:color w:val="000000"/>
              </w:rPr>
              <w:t xml:space="preserve">具备12000种以上攻击特征库规则列表，并可自定义特征库，设备具备CVE漏洞防护能力（提供兼容CVE证书）</w:t>
            </w:r>
            <w:r/>
          </w:p>
          <w:p>
            <w:pPr>
              <w:pStyle w:val="903"/>
              <w:rPr>
                <w:color w:val="000000"/>
              </w:rPr>
            </w:pPr>
            <w:r>
              <w:rPr>
                <w:color w:val="000000"/>
              </w:rPr>
              <w:t xml:space="preserve">支持缓冲区溢出、SQL注入和跨站脚本攻击的检测和防护,支持专业的Web Server防护功能，含CC攻击防护和外链防护等</w:t>
            </w:r>
            <w:r/>
          </w:p>
          <w:p>
            <w:pPr>
              <w:pStyle w:val="903"/>
              <w:rPr>
                <w:color w:val="000000"/>
              </w:rPr>
            </w:pPr>
            <w:r>
              <w:rPr>
                <w:color w:val="000000"/>
              </w:rPr>
              <w:t xml:space="preserve">支持旁路和在线两种模式，支持基于安全策略和安全域启用IPS功能，可在不同的攻击方向上启用IPS（至少支持流入\流出\双向等方向）</w:t>
            </w:r>
            <w:r/>
          </w:p>
          <w:p>
            <w:pPr>
              <w:pStyle w:val="903"/>
              <w:rPr>
                <w:color w:val="000000"/>
              </w:rPr>
            </w:pPr>
            <w:r>
              <w:rPr>
                <w:color w:val="000000"/>
              </w:rPr>
              <w:t xml:space="preserve">支持源/目的IP地址、特征ID白名单</w:t>
            </w:r>
            <w:r/>
          </w:p>
        </w:tc>
      </w:tr>
      <w:tr>
        <w:trPr>
          <w:trHeight w:val="1102"/>
        </w:trPr>
        <w:tc>
          <w:tcPr>
            <w:tcW w:w="1644" w:type="dxa"/>
            <w:vAlign w:val="center"/>
            <w:textDirection w:val="lrTb"/>
            <w:noWrap w:val="false"/>
          </w:tcPr>
          <w:p>
            <w:pPr>
              <w:pStyle w:val="903"/>
              <w:rPr>
                <w:color w:val="000000"/>
              </w:rPr>
            </w:pPr>
            <w:r>
              <w:rPr>
                <w:color w:val="000000"/>
              </w:rPr>
              <w:t xml:space="preserve">病毒过滤</w:t>
            </w:r>
            <w:r/>
          </w:p>
        </w:tc>
        <w:tc>
          <w:tcPr>
            <w:tcW w:w="6806" w:type="dxa"/>
            <w:vAlign w:val="center"/>
            <w:textDirection w:val="lrTb"/>
            <w:noWrap w:val="false"/>
          </w:tcPr>
          <w:p>
            <w:pPr>
              <w:pStyle w:val="903"/>
              <w:rPr>
                <w:color w:val="000000"/>
              </w:rPr>
            </w:pPr>
            <w:r>
              <w:rPr>
                <w:color w:val="000000"/>
              </w:rPr>
              <w:t xml:space="preserve">支持对HTTP、SMTP、POP3、IMAP4、FTP、SMB协议传输的文件进行病毒扫描，不少于300万病毒特征库</w:t>
            </w:r>
            <w:r/>
          </w:p>
          <w:p>
            <w:pPr>
              <w:pStyle w:val="903"/>
              <w:rPr>
                <w:color w:val="000000"/>
              </w:rPr>
            </w:pPr>
            <w:r>
              <w:rPr>
                <w:color w:val="000000"/>
              </w:rPr>
              <w:t xml:space="preserve">支持用户手动添加MD5特征码到AV病毒库中，也可以手动清除该特征码。</w:t>
            </w:r>
            <w:r/>
          </w:p>
        </w:tc>
      </w:tr>
      <w:tr>
        <w:trPr>
          <w:trHeight w:val="1375"/>
        </w:trPr>
        <w:tc>
          <w:tcPr>
            <w:tcW w:w="1644" w:type="dxa"/>
            <w:vAlign w:val="center"/>
            <w:textDirection w:val="lrTb"/>
            <w:noWrap w:val="false"/>
          </w:tcPr>
          <w:p>
            <w:pPr>
              <w:pStyle w:val="903"/>
              <w:rPr>
                <w:color w:val="000000"/>
              </w:rPr>
            </w:pPr>
            <w:r>
              <w:rPr>
                <w:color w:val="000000"/>
              </w:rPr>
              <w:t xml:space="preserve">威胁情报</w:t>
            </w:r>
            <w:r/>
          </w:p>
        </w:tc>
        <w:tc>
          <w:tcPr>
            <w:tcW w:w="6806" w:type="dxa"/>
            <w:vAlign w:val="center"/>
            <w:textDirection w:val="lrTb"/>
            <w:noWrap w:val="false"/>
          </w:tcPr>
          <w:p>
            <w:pPr>
              <w:pStyle w:val="903"/>
              <w:rPr>
                <w:color w:val="000000"/>
              </w:rPr>
            </w:pPr>
            <w:r>
              <w:rPr>
                <w:color w:val="000000"/>
              </w:rPr>
              <w:t xml:space="preserve">支持与威胁情报中心联动，支持热点情报推送到设备，并提供配置向导协助用户生成安全防护策略</w:t>
            </w:r>
            <w:r/>
          </w:p>
          <w:p>
            <w:pPr>
              <w:pStyle w:val="903"/>
              <w:rPr>
                <w:color w:val="000000"/>
              </w:rPr>
            </w:pPr>
            <w:r>
              <w:rPr>
                <w:color w:val="000000"/>
              </w:rPr>
              <w:t xml:space="preserve">支持威胁情报与防火墙威胁事件、威胁日志检测结果加强与取证，用户可通过手动触发与自动触发将日志元素上送威胁情报平台进行上下文查询。</w:t>
            </w:r>
            <w:r/>
          </w:p>
        </w:tc>
      </w:tr>
      <w:tr>
        <w:trPr>
          <w:trHeight w:val="1941"/>
        </w:trPr>
        <w:tc>
          <w:tcPr>
            <w:tcW w:w="1644" w:type="dxa"/>
            <w:vAlign w:val="center"/>
            <w:textDirection w:val="lrTb"/>
            <w:noWrap w:val="false"/>
          </w:tcPr>
          <w:p>
            <w:pPr>
              <w:pStyle w:val="903"/>
              <w:rPr>
                <w:color w:val="000000"/>
              </w:rPr>
            </w:pPr>
            <w:r>
              <w:rPr>
                <w:color w:val="000000"/>
              </w:rPr>
              <w:t xml:space="preserve">数据安全</w:t>
            </w:r>
            <w:r/>
          </w:p>
        </w:tc>
        <w:tc>
          <w:tcPr>
            <w:tcW w:w="6806" w:type="dxa"/>
            <w:vAlign w:val="center"/>
            <w:textDirection w:val="lrTb"/>
            <w:noWrap w:val="false"/>
          </w:tcPr>
          <w:p>
            <w:pPr>
              <w:pStyle w:val="903"/>
              <w:rPr>
                <w:color w:val="000000"/>
              </w:rPr>
            </w:pPr>
            <w:r>
              <w:rPr>
                <w:color w:val="000000"/>
              </w:rPr>
              <w:t xml:space="preserve">支持HTTP、FTP、SMTP、POP3、IMAP、SMB等协议设置文件过滤</w:t>
            </w:r>
            <w:r/>
          </w:p>
          <w:p>
            <w:pPr>
              <w:pStyle w:val="903"/>
              <w:rPr>
                <w:color w:val="000000"/>
              </w:rPr>
            </w:pPr>
            <w:r>
              <w:rPr>
                <w:color w:val="000000"/>
              </w:rPr>
              <w:t xml:space="preserve">支持基于文件类型、文件大小、文件名称进行数据传输安全控制，其中文件类型不少于100种</w:t>
            </w:r>
            <w:r/>
          </w:p>
          <w:p>
            <w:pPr>
              <w:pStyle w:val="903"/>
              <w:rPr>
                <w:color w:val="000000"/>
              </w:rPr>
            </w:pPr>
            <w:r>
              <w:rPr>
                <w:color w:val="000000"/>
              </w:rPr>
              <w:t xml:space="preserve">支持对网页关键字、Web外发信息、邮件过滤、应用行为控制等内容进行过滤</w:t>
            </w:r>
            <w:r/>
          </w:p>
          <w:p>
            <w:pPr>
              <w:pStyle w:val="903"/>
              <w:rPr>
                <w:color w:val="000000"/>
              </w:rPr>
            </w:pPr>
            <w:r>
              <w:rPr>
                <w:color w:val="000000"/>
              </w:rPr>
              <w:t xml:space="preserve">支持新浪微博、微信UID和QQ虚拟身份的识别及相关上网行为的审计记录</w:t>
            </w:r>
            <w:r/>
          </w:p>
        </w:tc>
      </w:tr>
      <w:tr>
        <w:trPr>
          <w:trHeight w:val="1375"/>
        </w:trPr>
        <w:tc>
          <w:tcPr>
            <w:tcW w:w="1644" w:type="dxa"/>
            <w:vAlign w:val="center"/>
            <w:textDirection w:val="lrTb"/>
            <w:noWrap w:val="false"/>
          </w:tcPr>
          <w:p>
            <w:pPr>
              <w:pStyle w:val="903"/>
              <w:rPr>
                <w:color w:val="000000"/>
              </w:rPr>
            </w:pPr>
            <w:r>
              <w:rPr>
                <w:color w:val="000000"/>
              </w:rPr>
              <w:t xml:space="preserve">IPV6功能</w:t>
            </w:r>
            <w:r/>
          </w:p>
        </w:tc>
        <w:tc>
          <w:tcPr>
            <w:tcW w:w="6806" w:type="dxa"/>
            <w:vAlign w:val="center"/>
            <w:textDirection w:val="lrTb"/>
            <w:noWrap w:val="false"/>
          </w:tcPr>
          <w:p>
            <w:pPr>
              <w:pStyle w:val="903"/>
              <w:rPr>
                <w:color w:val="000000"/>
              </w:rPr>
            </w:pPr>
            <w:r>
              <w:rPr>
                <w:color w:val="000000"/>
              </w:rPr>
              <w:t xml:space="preserve">支持IPV6邻居发现协议、IPV6 SNMP管理、IPV6路由配置、IPV6 DNS配置、IPV6策略配置、IPV6 ALG配置、IPV6 6TO4隧道配置、IPV6 4to6隧道配置、NAT-PT配置、NAT64和DNS64配置</w:t>
            </w:r>
            <w:r/>
          </w:p>
          <w:p>
            <w:pPr>
              <w:pStyle w:val="903"/>
              <w:rPr>
                <w:color w:val="000000"/>
              </w:rPr>
            </w:pPr>
            <w:r>
              <w:rPr>
                <w:color w:val="000000"/>
              </w:rPr>
              <w:t xml:space="preserve">支持对IPV6用户的会话日志监控、流量监控、应用监控功能，并且能够对IPV6用户进行自定义监控统计功能</w:t>
            </w:r>
            <w:r/>
          </w:p>
        </w:tc>
      </w:tr>
      <w:tr>
        <w:trPr>
          <w:trHeight w:val="1648"/>
        </w:trPr>
        <w:tc>
          <w:tcPr>
            <w:tcW w:w="1644" w:type="dxa"/>
            <w:vAlign w:val="center"/>
            <w:textDirection w:val="lrTb"/>
            <w:noWrap w:val="false"/>
          </w:tcPr>
          <w:p>
            <w:pPr>
              <w:pStyle w:val="903"/>
              <w:rPr>
                <w:color w:val="000000"/>
              </w:rPr>
            </w:pPr>
            <w:r>
              <w:rPr>
                <w:color w:val="000000"/>
              </w:rPr>
              <w:t xml:space="preserve">VPN功能</w:t>
            </w:r>
            <w:r/>
          </w:p>
        </w:tc>
        <w:tc>
          <w:tcPr>
            <w:tcW w:w="6806" w:type="dxa"/>
            <w:vAlign w:val="center"/>
            <w:textDirection w:val="lrTb"/>
            <w:noWrap w:val="false"/>
          </w:tcPr>
          <w:p>
            <w:pPr>
              <w:pStyle w:val="903"/>
              <w:rPr>
                <w:color w:val="000000"/>
              </w:rPr>
            </w:pPr>
            <w:r>
              <w:rPr>
                <w:color w:val="000000"/>
              </w:rPr>
              <w:t xml:space="preserve">支持标准IPSec VPN(IKEV1/V2)、GRE、L2TP(IPV4/IPV6)、Xauth等VPN连接;支持国密算法SM2/SM3/SM4;支持Android、iOS等移动设备的安全接入。</w:t>
            </w:r>
            <w:r/>
          </w:p>
          <w:p>
            <w:pPr>
              <w:pStyle w:val="903"/>
              <w:rPr>
                <w:color w:val="000000"/>
              </w:rPr>
            </w:pPr>
            <w:r>
              <w:rPr>
                <w:color w:val="000000"/>
              </w:rPr>
              <w:t xml:space="preserve">提供SSL VPN功能；必须支持对登录SSL VPN的用户端系统进行端点安全检查，至少包括指定文件、指定进程、系统补丁、浏览器版本、杀毒软件等方面</w:t>
            </w:r>
            <w:r/>
          </w:p>
        </w:tc>
      </w:tr>
      <w:tr>
        <w:trPr>
          <w:trHeight w:val="1102"/>
        </w:trPr>
        <w:tc>
          <w:tcPr>
            <w:tcW w:w="1644" w:type="dxa"/>
            <w:vAlign w:val="center"/>
            <w:textDirection w:val="lrTb"/>
            <w:noWrap w:val="false"/>
          </w:tcPr>
          <w:p>
            <w:pPr>
              <w:pStyle w:val="903"/>
              <w:rPr>
                <w:color w:val="000000"/>
              </w:rPr>
            </w:pPr>
            <w:r>
              <w:rPr>
                <w:color w:val="000000"/>
              </w:rPr>
              <w:t xml:space="preserve">SSL解密</w:t>
            </w:r>
            <w:r/>
          </w:p>
        </w:tc>
        <w:tc>
          <w:tcPr>
            <w:tcW w:w="6806" w:type="dxa"/>
            <w:vAlign w:val="center"/>
            <w:textDirection w:val="lrTb"/>
            <w:noWrap w:val="false"/>
          </w:tcPr>
          <w:p>
            <w:pPr>
              <w:pStyle w:val="903"/>
              <w:rPr>
                <w:color w:val="000000"/>
              </w:rPr>
            </w:pPr>
            <w:r>
              <w:rPr>
                <w:color w:val="000000"/>
              </w:rPr>
              <w:t xml:space="preserve">支持基于客户端、服务端流量检查功能；支持基于HTTPS/SMTPS/POP3S/IMAPS协议的应用解密功能</w:t>
            </w:r>
            <w:r/>
          </w:p>
          <w:p>
            <w:pPr>
              <w:pStyle w:val="903"/>
              <w:rPr>
                <w:color w:val="000000"/>
              </w:rPr>
            </w:pPr>
            <w:r>
              <w:rPr>
                <w:color w:val="000000"/>
              </w:rPr>
              <w:t xml:space="preserve">支持基于URL分类设置白名单；提供SSL代理根证书供PC端使用，以消除浏览器告警提示，并能在浏览器上弹出下载提示。</w:t>
            </w:r>
            <w:r/>
          </w:p>
        </w:tc>
      </w:tr>
      <w:tr>
        <w:trPr>
          <w:trHeight w:val="1102"/>
        </w:trPr>
        <w:tc>
          <w:tcPr>
            <w:tcW w:w="1644" w:type="dxa"/>
            <w:vAlign w:val="center"/>
            <w:textDirection w:val="lrTb"/>
            <w:noWrap w:val="false"/>
          </w:tcPr>
          <w:p>
            <w:pPr>
              <w:pStyle w:val="903"/>
              <w:rPr>
                <w:color w:val="000000"/>
              </w:rPr>
            </w:pPr>
            <w:r>
              <w:rPr>
                <w:color w:val="000000"/>
              </w:rPr>
              <w:t xml:space="preserve">云安全运维</w:t>
            </w:r>
            <w:r/>
          </w:p>
        </w:tc>
        <w:tc>
          <w:tcPr>
            <w:tcW w:w="6806" w:type="dxa"/>
            <w:vAlign w:val="center"/>
            <w:textDirection w:val="lrTb"/>
            <w:noWrap w:val="false"/>
          </w:tcPr>
          <w:p>
            <w:pPr>
              <w:pStyle w:val="903"/>
              <w:rPr>
                <w:color w:val="000000"/>
              </w:rPr>
            </w:pPr>
            <w:r>
              <w:rPr>
                <w:color w:val="000000"/>
              </w:rPr>
              <w:t xml:space="preserve">提供手机APP，实施监控展现设备CPU利用率、内存利用率、并发连接数、流量等状态</w:t>
            </w:r>
            <w:r/>
          </w:p>
          <w:p>
            <w:pPr>
              <w:pStyle w:val="903"/>
              <w:rPr>
                <w:color w:val="000000"/>
              </w:rPr>
            </w:pPr>
            <w:r>
              <w:rPr>
                <w:color w:val="000000"/>
              </w:rPr>
              <w:t xml:space="preserve">提供防火墙威胁分析服务，包括攻击级别展示、攻击类型分析、攻击者和受害者信息统计分析</w:t>
            </w:r>
            <w:r/>
          </w:p>
        </w:tc>
      </w:tr>
      <w:tr>
        <w:trPr>
          <w:cantSplit/>
          <w:trHeight w:val="405"/>
        </w:trPr>
        <w:tc>
          <w:tcPr>
            <w:tcW w:w="1644" w:type="dxa"/>
            <w:vAlign w:val="center"/>
            <w:vMerge w:val="restart"/>
            <w:textDirection w:val="lrTb"/>
            <w:noWrap w:val="false"/>
          </w:tcPr>
          <w:p>
            <w:pPr>
              <w:pStyle w:val="903"/>
              <w:rPr>
                <w:color w:val="000000"/>
              </w:rPr>
            </w:pPr>
            <w:r>
              <w:rPr>
                <w:color w:val="000000"/>
              </w:rPr>
              <w:t xml:space="preserve">管理功能</w:t>
            </w:r>
            <w:r/>
          </w:p>
        </w:tc>
        <w:tc>
          <w:tcPr>
            <w:tcW w:w="6806" w:type="dxa"/>
            <w:vAlign w:val="center"/>
            <w:textDirection w:val="lrTb"/>
            <w:noWrap w:val="false"/>
          </w:tcPr>
          <w:p>
            <w:pPr>
              <w:pStyle w:val="903"/>
              <w:rPr>
                <w:color w:val="000000"/>
              </w:rPr>
            </w:pPr>
            <w:r>
              <w:rPr>
                <w:color w:val="000000"/>
              </w:rPr>
              <w:t xml:space="preserve">支持不少于8个配置文件并存，并支持配置文件备注以便配置回退。</w:t>
            </w:r>
            <w:r/>
          </w:p>
          <w:p>
            <w:pPr>
              <w:pStyle w:val="903"/>
              <w:rPr>
                <w:color w:val="000000"/>
              </w:rPr>
            </w:pPr>
            <w:r>
              <w:rPr>
                <w:color w:val="000000"/>
              </w:rPr>
              <w:t xml:space="preserve">提供标准的SNMPV1/V2/V3协议管理方式；支持LLDP协议。</w:t>
            </w:r>
            <w:r/>
          </w:p>
        </w:tc>
      </w:tr>
      <w:tr>
        <w:trPr>
          <w:cantSplit/>
          <w:trHeight w:val="405"/>
        </w:trPr>
        <w:tc>
          <w:tcPr>
            <w:tcW w:w="1644" w:type="dxa"/>
            <w:vAlign w:val="center"/>
            <w:vMerge w:val="continue"/>
            <w:textDirection w:val="lrTb"/>
            <w:noWrap w:val="false"/>
          </w:tcPr>
          <w:p>
            <w:pPr>
              <w:pStyle w:val="903"/>
              <w:rPr>
                <w:color w:val="000000"/>
              </w:rPr>
            </w:pPr>
            <w:r>
              <w:rPr>
                <w:color w:val="000000"/>
              </w:rPr>
            </w:r>
            <w:r/>
          </w:p>
        </w:tc>
        <w:tc>
          <w:tcPr>
            <w:tcW w:w="6806" w:type="dxa"/>
            <w:vAlign w:val="center"/>
            <w:textDirection w:val="lrTb"/>
            <w:noWrap w:val="false"/>
          </w:tcPr>
          <w:p>
            <w:pPr>
              <w:pStyle w:val="903"/>
              <w:rPr>
                <w:color w:val="000000"/>
              </w:rPr>
            </w:pPr>
            <w:r>
              <w:rPr>
                <w:rFonts w:hint="eastAsia" w:ascii="宋体" w:hAnsi="宋体" w:cs="宋体"/>
                <w:color w:val="000000"/>
              </w:rPr>
              <w:t xml:space="preserve">★</w:t>
            </w:r>
            <w:r>
              <w:rPr>
                <w:color w:val="000000"/>
              </w:rPr>
              <w:t xml:space="preserve">基于应用/角色/国家地理IP的安全策略（提供产品界面截图）</w:t>
            </w:r>
            <w:r/>
          </w:p>
        </w:tc>
      </w:tr>
      <w:tr>
        <w:trPr>
          <w:cantSplit/>
          <w:trHeight w:val="1507"/>
        </w:trPr>
        <w:tc>
          <w:tcPr>
            <w:tcW w:w="1644" w:type="dxa"/>
            <w:vAlign w:val="center"/>
            <w:vMerge w:val="continue"/>
            <w:textDirection w:val="lrTb"/>
            <w:noWrap w:val="false"/>
          </w:tcPr>
          <w:p>
            <w:pPr>
              <w:pStyle w:val="903"/>
              <w:rPr>
                <w:color w:val="000000"/>
              </w:rPr>
            </w:pPr>
            <w:r>
              <w:rPr>
                <w:color w:val="000000"/>
              </w:rPr>
            </w:r>
            <w:r/>
          </w:p>
        </w:tc>
        <w:tc>
          <w:tcPr>
            <w:tcW w:w="6806" w:type="dxa"/>
            <w:vAlign w:val="center"/>
            <w:textDirection w:val="lrTb"/>
            <w:noWrap w:val="false"/>
          </w:tcPr>
          <w:p>
            <w:pPr>
              <w:pStyle w:val="903"/>
              <w:rPr>
                <w:color w:val="000000"/>
              </w:rPr>
            </w:pPr>
            <w:r>
              <w:rPr>
                <w:color w:val="000000"/>
              </w:rPr>
              <w:t xml:space="preserve">支持预定义和自定义报表模板，可自定义报表内容，报表内容包含网络及安全风险概况、网络流量详情、应用统计及风险详情、URL活动及风险详情、网络风险威胁详情和威胁说明等；报表格式支持PDF、HTML、WORD。</w:t>
            </w:r>
            <w:r/>
          </w:p>
          <w:p>
            <w:pPr>
              <w:pStyle w:val="903"/>
              <w:rPr>
                <w:color w:val="000000"/>
              </w:rPr>
            </w:pPr>
            <w:r>
              <w:rPr>
                <w:color w:val="000000"/>
              </w:rPr>
              <w:t xml:space="preserve">支持netflow进行流量信息采集和外发。</w:t>
            </w:r>
            <w:r/>
          </w:p>
        </w:tc>
      </w:tr>
      <w:tr>
        <w:trPr>
          <w:cantSplit/>
          <w:trHeight w:val="1375"/>
        </w:trPr>
        <w:tc>
          <w:tcPr>
            <w:tcW w:w="1644" w:type="dxa"/>
            <w:vAlign w:val="center"/>
            <w:vMerge w:val="continue"/>
            <w:textDirection w:val="lrTb"/>
            <w:noWrap w:val="false"/>
          </w:tcPr>
          <w:p>
            <w:pPr>
              <w:pStyle w:val="903"/>
              <w:rPr>
                <w:color w:val="000000"/>
              </w:rPr>
            </w:pPr>
            <w:r>
              <w:rPr>
                <w:color w:val="000000"/>
              </w:rPr>
            </w:r>
            <w:r/>
          </w:p>
        </w:tc>
        <w:tc>
          <w:tcPr>
            <w:tcW w:w="6806" w:type="dxa"/>
            <w:vAlign w:val="center"/>
            <w:textDirection w:val="lrTb"/>
            <w:noWrap w:val="false"/>
          </w:tcPr>
          <w:p>
            <w:pPr>
              <w:pStyle w:val="903"/>
              <w:rPr>
                <w:color w:val="000000"/>
              </w:rPr>
            </w:pPr>
            <w:r>
              <w:rPr>
                <w:color w:val="000000"/>
              </w:rPr>
              <w:t xml:space="preserve">支持链路状态监控，可以查看链路的延迟、丢包率、抖动信息，可查看指定应用/应用组详情，支持选择多条链路进行对比分析</w:t>
            </w:r>
            <w:r/>
          </w:p>
          <w:p>
            <w:pPr>
              <w:pStyle w:val="903"/>
              <w:rPr>
                <w:color w:val="000000"/>
              </w:rPr>
            </w:pPr>
            <w:r>
              <w:rPr>
                <w:color w:val="000000"/>
              </w:rPr>
              <w:t xml:space="preserve">支持数据包路径检测工具通过在线检测、模拟检测等检测手段，WEB界面图形化展现数据包经过的每个防火墙功能模块的处理过程，以便快速定位异常功能模块</w:t>
            </w:r>
            <w:r/>
          </w:p>
        </w:tc>
      </w:tr>
      <w:tr>
        <w:trPr>
          <w:trHeight w:val="337"/>
        </w:trPr>
        <w:tc>
          <w:tcPr>
            <w:tcW w:w="1644" w:type="dxa"/>
            <w:vAlign w:val="center"/>
            <w:textDirection w:val="lrTb"/>
            <w:noWrap w:val="false"/>
          </w:tcPr>
          <w:p>
            <w:pPr>
              <w:pStyle w:val="903"/>
              <w:rPr>
                <w:color w:val="000000"/>
              </w:rPr>
            </w:pPr>
            <w:r>
              <w:rPr>
                <w:color w:val="000000"/>
              </w:rPr>
              <w:t xml:space="preserve">资质要求</w:t>
            </w:r>
            <w:r/>
          </w:p>
        </w:tc>
        <w:tc>
          <w:tcPr>
            <w:tcW w:w="6806" w:type="dxa"/>
            <w:vAlign w:val="top"/>
            <w:textDirection w:val="lrTb"/>
            <w:noWrap w:val="false"/>
          </w:tcPr>
          <w:p>
            <w:pPr>
              <w:pStyle w:val="903"/>
              <w:rPr>
                <w:color w:val="000000"/>
              </w:rPr>
            </w:pPr>
            <w:r>
              <w:rPr>
                <w:rFonts w:hint="eastAsia" w:ascii="宋体" w:hAnsi="宋体" w:cs="宋体"/>
                <w:color w:val="000000"/>
              </w:rPr>
              <w:t xml:space="preserve">★</w:t>
            </w:r>
            <w:r>
              <w:rPr>
                <w:color w:val="000000"/>
              </w:rPr>
              <w:t xml:space="preserve">防雷击，须通过国家无线电监测中心检测中心浪涌（冲击）抗扰度（4KV）测试项目。（提供国家无线电监测中心检测中心委托测试报告证明）</w:t>
            </w:r>
            <w:r/>
          </w:p>
        </w:tc>
      </w:tr>
      <w:tr>
        <w:trPr>
          <w:trHeight w:val="165"/>
        </w:trPr>
        <w:tc>
          <w:tcPr>
            <w:tcW w:w="1644" w:type="dxa"/>
            <w:vAlign w:val="center"/>
            <w:textDirection w:val="lrTb"/>
            <w:noWrap w:val="false"/>
          </w:tcPr>
          <w:p>
            <w:pPr>
              <w:pStyle w:val="903"/>
              <w:rPr>
                <w:b/>
                <w:i/>
                <w:iCs/>
                <w:color w:val="000000"/>
                <w:u w:val="single"/>
              </w:rPr>
            </w:pPr>
            <w:r>
              <w:rPr>
                <w:b/>
                <w:i/>
                <w:iCs/>
                <w:color w:val="000000"/>
                <w:u w:val="single"/>
              </w:rPr>
              <w:t xml:space="preserve">售后服务</w:t>
            </w:r>
            <w:r/>
          </w:p>
        </w:tc>
        <w:tc>
          <w:tcPr>
            <w:tcW w:w="6806" w:type="dxa"/>
            <w:vAlign w:val="center"/>
            <w:textDirection w:val="lrTb"/>
            <w:noWrap/>
          </w:tcPr>
          <w:p>
            <w:pPr>
              <w:pStyle w:val="903"/>
              <w:rPr>
                <w:b/>
                <w:i/>
                <w:iCs/>
                <w:color w:val="000000"/>
                <w:u w:val="single"/>
                <w:lang w:eastAsia="en-US"/>
              </w:rPr>
            </w:pPr>
            <w:r>
              <w:rPr>
                <w:b/>
                <w:i/>
                <w:iCs/>
                <w:color w:val="000000"/>
                <w:u w:val="single"/>
                <w:lang w:eastAsia="en-US"/>
              </w:rPr>
              <w:t xml:space="preserve">提供</w:t>
            </w:r>
            <w:r>
              <w:rPr>
                <w:b/>
                <w:i/>
                <w:iCs/>
                <w:color w:val="000000"/>
                <w:u w:val="single"/>
              </w:rPr>
              <w:t xml:space="preserve">项目服务期内的</w:t>
            </w:r>
            <w:r>
              <w:rPr>
                <w:b/>
                <w:i/>
                <w:iCs/>
                <w:color w:val="000000"/>
                <w:u w:val="single"/>
                <w:lang w:eastAsia="en-US"/>
              </w:rPr>
              <w:t xml:space="preserve">硬件质保及软件升级服务</w:t>
            </w:r>
            <w:r/>
          </w:p>
        </w:tc>
      </w:tr>
    </w:tbl>
    <w:p>
      <w:pPr>
        <w:pStyle w:val="907"/>
        <w:numPr>
          <w:ilvl w:val="0"/>
          <w:numId w:val="7"/>
        </w:numPr>
        <w:spacing w:before="0" w:after="0" w:line="360" w:lineRule="auto"/>
        <w:rPr>
          <w:rFonts w:ascii="Times New Roman" w:hAnsi="Times New Roman"/>
          <w:color w:val="000000"/>
        </w:rPr>
      </w:pPr>
      <w:r/>
      <w:bookmarkEnd w:id="197"/>
      <w:r>
        <w:rPr>
          <w:rFonts w:ascii="Times New Roman" w:hAnsi="Times New Roman"/>
          <w:color w:val="000000"/>
        </w:rPr>
        <w:t xml:space="preserve">漏洞扫描</w:t>
      </w:r>
      <w:r/>
    </w:p>
    <w:tbl>
      <w:tblPr>
        <w:tblW w:w="84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4"/>
        <w:gridCol w:w="6942"/>
      </w:tblGrid>
      <w:tr>
        <w:trPr/>
        <w:tc>
          <w:tcPr>
            <w:tcW w:w="1554" w:type="dxa"/>
            <w:vAlign w:val="center"/>
            <w:textDirection w:val="lrTb"/>
            <w:noWrap w:val="false"/>
          </w:tcPr>
          <w:p>
            <w:pPr>
              <w:pStyle w:val="903"/>
              <w:rPr>
                <w:color w:val="000000"/>
              </w:rPr>
            </w:pPr>
            <w:r>
              <w:rPr>
                <w:color w:val="000000"/>
              </w:rPr>
              <w:t xml:space="preserve">技术指标</w:t>
            </w:r>
            <w:r/>
          </w:p>
        </w:tc>
        <w:tc>
          <w:tcPr>
            <w:tcW w:w="6942" w:type="dxa"/>
            <w:vAlign w:val="center"/>
            <w:textDirection w:val="lrTb"/>
            <w:noWrap w:val="false"/>
          </w:tcPr>
          <w:p>
            <w:pPr>
              <w:pStyle w:val="903"/>
              <w:rPr>
                <w:color w:val="000000"/>
              </w:rPr>
            </w:pPr>
            <w:r>
              <w:rPr>
                <w:color w:val="000000"/>
              </w:rPr>
              <w:t xml:space="preserve">参数要求</w:t>
            </w:r>
            <w:r/>
          </w:p>
        </w:tc>
      </w:tr>
      <w:tr>
        <w:trPr>
          <w:trHeight w:val="90"/>
        </w:trPr>
        <w:tc>
          <w:tcPr>
            <w:tcW w:w="1554" w:type="dxa"/>
            <w:vAlign w:val="center"/>
            <w:textDirection w:val="lrTb"/>
            <w:noWrap w:val="false"/>
          </w:tcPr>
          <w:p>
            <w:pPr>
              <w:pStyle w:val="903"/>
              <w:rPr>
                <w:b/>
                <w:i/>
                <w:iCs/>
                <w:color w:val="000000"/>
                <w:u w:val="single"/>
              </w:rPr>
            </w:pPr>
            <w:r>
              <w:rPr>
                <w:b/>
                <w:i/>
                <w:iCs/>
                <w:color w:val="000000"/>
                <w:u w:val="single"/>
              </w:rPr>
              <w:t xml:space="preserve">设备基</w:t>
            </w:r>
            <w:r/>
          </w:p>
          <w:p>
            <w:pPr>
              <w:pStyle w:val="903"/>
              <w:rPr>
                <w:b/>
                <w:i/>
                <w:iCs/>
                <w:color w:val="000000"/>
                <w:u w:val="single"/>
              </w:rPr>
            </w:pPr>
            <w:r>
              <w:rPr>
                <w:b/>
                <w:i/>
                <w:iCs/>
                <w:color w:val="000000"/>
                <w:u w:val="single"/>
              </w:rPr>
              <w:t xml:space="preserve">本要求</w:t>
            </w:r>
            <w:r/>
          </w:p>
        </w:tc>
        <w:tc>
          <w:tcPr>
            <w:tcW w:w="6942" w:type="dxa"/>
            <w:vAlign w:val="top"/>
            <w:textDirection w:val="lrTb"/>
            <w:noWrap w:val="false"/>
          </w:tcPr>
          <w:p>
            <w:pPr>
              <w:pStyle w:val="903"/>
              <w:rPr>
                <w:b/>
                <w:i/>
                <w:iCs/>
                <w:color w:val="000000"/>
                <w:u w:val="single"/>
              </w:rPr>
            </w:pPr>
            <w:r>
              <w:rPr>
                <w:b/>
                <w:i/>
                <w:iCs/>
                <w:color w:val="000000"/>
                <w:u w:val="single"/>
              </w:rPr>
              <w:t xml:space="preserve">千兆电口≥6，千兆光口≥4个（含2个千兆光模块）内存≥16G，硬盘≥1T，主机</w:t>
            </w:r>
            <w:bookmarkStart w:id="198" w:name="OLE_LINK26"/>
            <w:r/>
            <w:bookmarkStart w:id="199" w:name="OLE_LINK25"/>
            <w:r>
              <w:rPr>
                <w:b/>
                <w:i/>
                <w:iCs/>
                <w:color w:val="000000"/>
                <w:u w:val="single"/>
              </w:rPr>
              <w:t xml:space="preserve">扫描授权无限制</w:t>
            </w:r>
            <w:bookmarkEnd w:id="198"/>
            <w:r/>
            <w:bookmarkEnd w:id="199"/>
            <w:r>
              <w:rPr>
                <w:b/>
                <w:i/>
                <w:iCs/>
                <w:color w:val="000000"/>
                <w:u w:val="single"/>
              </w:rPr>
              <w:t xml:space="preserve">， WEB扫描授权无限制、数据库扫描授权无限制、基线扫描授权无限制，配置国产处理器，国产操作系统</w:t>
            </w:r>
            <w:bookmarkStart w:id="200" w:name="OLE_LINK62"/>
            <w:r/>
            <w:bookmarkStart w:id="201" w:name="OLE_LINK59"/>
            <w:r>
              <w:rPr>
                <w:b/>
                <w:i/>
                <w:iCs/>
                <w:color w:val="000000"/>
                <w:u w:val="single"/>
              </w:rPr>
              <w:t xml:space="preserve">。</w:t>
            </w:r>
            <w:bookmarkEnd w:id="200"/>
            <w:r/>
            <w:bookmarkEnd w:id="201"/>
            <w:r>
              <w:rPr>
                <w:b/>
                <w:i/>
                <w:iCs/>
                <w:color w:val="000000"/>
                <w:u w:val="single"/>
              </w:rPr>
            </w:r>
            <w:r/>
          </w:p>
        </w:tc>
      </w:tr>
      <w:tr>
        <w:trPr>
          <w:trHeight w:val="1131"/>
        </w:trPr>
        <w:tc>
          <w:tcPr>
            <w:tcW w:w="1554" w:type="dxa"/>
            <w:vAlign w:val="center"/>
            <w:textDirection w:val="lrTb"/>
            <w:noWrap w:val="false"/>
          </w:tcPr>
          <w:p>
            <w:pPr>
              <w:pStyle w:val="903"/>
              <w:rPr>
                <w:color w:val="000000"/>
                <w:lang w:eastAsia="en-US"/>
              </w:rPr>
            </w:pPr>
            <w:r>
              <w:rPr>
                <w:color w:val="000000"/>
                <w:lang w:eastAsia="en-US"/>
              </w:rPr>
              <w:t xml:space="preserve">基本架构</w:t>
            </w:r>
            <w:r/>
          </w:p>
        </w:tc>
        <w:tc>
          <w:tcPr>
            <w:tcW w:w="6942" w:type="dxa"/>
            <w:vAlign w:val="top"/>
            <w:textDirection w:val="lrTb"/>
            <w:noWrap w:val="false"/>
          </w:tcPr>
          <w:p>
            <w:pPr>
              <w:pStyle w:val="903"/>
              <w:rPr>
                <w:color w:val="000000"/>
              </w:rPr>
            </w:pPr>
            <w:r>
              <w:rPr>
                <w:color w:val="000000"/>
              </w:rPr>
              <w:t xml:space="preserve">系统为B/S架构，并采用SSL加密通信方式，用户可以通过浏览器远程方便对产品访问操作，支持多用户同时登录操作。</w:t>
            </w:r>
            <w:r/>
          </w:p>
          <w:p>
            <w:pPr>
              <w:pStyle w:val="903"/>
              <w:rPr>
                <w:color w:val="000000"/>
              </w:rPr>
            </w:pPr>
            <w:r>
              <w:rPr>
                <w:color w:val="000000"/>
              </w:rPr>
              <w:t xml:space="preserve">具备双因子认证方式登录系统；且每个账户拥有独立动态口令牌，严格控制各账户之间的登录信息权限。</w:t>
            </w:r>
            <w:r/>
          </w:p>
        </w:tc>
      </w:tr>
      <w:tr>
        <w:trPr>
          <w:cantSplit/>
          <w:trHeight w:val="718"/>
        </w:trPr>
        <w:tc>
          <w:tcPr>
            <w:tcW w:w="1554" w:type="dxa"/>
            <w:vAlign w:val="center"/>
            <w:vMerge w:val="restart"/>
            <w:textDirection w:val="lrTb"/>
            <w:noWrap w:val="false"/>
          </w:tcPr>
          <w:p>
            <w:pPr>
              <w:pStyle w:val="903"/>
              <w:rPr>
                <w:color w:val="000000"/>
                <w:lang w:eastAsia="en-US"/>
              </w:rPr>
            </w:pPr>
            <w:r>
              <w:rPr>
                <w:color w:val="000000"/>
                <w:lang w:eastAsia="en-US"/>
              </w:rPr>
              <w:t xml:space="preserve">系统漏扫</w:t>
            </w:r>
            <w:r/>
          </w:p>
          <w:p>
            <w:pPr>
              <w:pStyle w:val="903"/>
              <w:rPr>
                <w:color w:val="000000"/>
                <w:lang w:eastAsia="en-US"/>
              </w:rPr>
            </w:pPr>
            <w:r>
              <w:rPr>
                <w:color w:val="000000"/>
                <w:lang w:eastAsia="en-US"/>
              </w:rPr>
              <w:t xml:space="preserve">功能</w:t>
            </w:r>
            <w:r/>
          </w:p>
        </w:tc>
        <w:tc>
          <w:tcPr>
            <w:tcW w:w="6942" w:type="dxa"/>
            <w:vAlign w:val="top"/>
            <w:textDirection w:val="lrTb"/>
            <w:noWrap w:val="false"/>
          </w:tcPr>
          <w:p>
            <w:pPr>
              <w:pStyle w:val="903"/>
              <w:rPr>
                <w:color w:val="000000"/>
              </w:rPr>
            </w:pPr>
            <w:r>
              <w:rPr>
                <w:color w:val="000000"/>
              </w:rPr>
              <w:t xml:space="preserve">支持对各种网络主机、操作系统、网络设备(如交换机、路由器、防火墙等)、常用软件以及web应用系统的识别和漏洞扫描。</w:t>
            </w:r>
            <w:r/>
          </w:p>
        </w:tc>
      </w:tr>
      <w:tr>
        <w:trPr>
          <w:cantSplit/>
          <w:trHeight w:val="268"/>
        </w:trPr>
        <w:tc>
          <w:tcPr>
            <w:tcW w:w="1554" w:type="dxa"/>
            <w:vAlign w:val="center"/>
            <w:vMerge w:val="continue"/>
            <w:textDirection w:val="lrTb"/>
            <w:noWrap w:val="false"/>
          </w:tcPr>
          <w:p>
            <w:pPr>
              <w:pStyle w:val="903"/>
              <w:rPr>
                <w:color w:val="000000"/>
                <w:lang w:eastAsia="en-US"/>
              </w:rPr>
            </w:pPr>
            <w:r>
              <w:rPr>
                <w:color w:val="000000"/>
                <w:lang w:eastAsia="en-US"/>
              </w:rPr>
            </w:r>
            <w:r/>
          </w:p>
        </w:tc>
        <w:tc>
          <w:tcPr>
            <w:tcW w:w="6942" w:type="dxa"/>
            <w:vAlign w:val="top"/>
            <w:textDirection w:val="lrTb"/>
            <w:noWrap w:val="false"/>
          </w:tcPr>
          <w:p>
            <w:pPr>
              <w:pStyle w:val="903"/>
              <w:rPr>
                <w:color w:val="000000"/>
              </w:rPr>
            </w:pPr>
            <w:r>
              <w:rPr>
                <w:rFonts w:hint="eastAsia" w:ascii="宋体" w:hAnsi="宋体" w:cs="宋体"/>
                <w:color w:val="000000"/>
              </w:rPr>
              <w:t xml:space="preserve">★</w:t>
            </w:r>
            <w:r>
              <w:rPr>
                <w:color w:val="000000"/>
              </w:rPr>
              <w:t xml:space="preserve">具备弱口令扫描功能，支持弱口令扫描协议数量≥20种，包括FTP、SMB、RDP、SSH、TELNET、SMTP、IMAP、POP3、Oracle、MySQL、MSSQL、DB2、REDIS、MongoDB、Sybase、Rlogin、RTSP、SIP、Onvif、Weblogic、Tomcat、SNMP等协议进行弱口令扫描，允许用户自定义用户、密码字典。（提供相关截图证明）</w:t>
            </w:r>
            <w:r/>
          </w:p>
        </w:tc>
      </w:tr>
      <w:tr>
        <w:trPr>
          <w:cantSplit/>
          <w:trHeight w:val="90"/>
        </w:trPr>
        <w:tc>
          <w:tcPr>
            <w:tcW w:w="1554" w:type="dxa"/>
            <w:vAlign w:val="center"/>
            <w:vMerge w:val="continue"/>
            <w:textDirection w:val="lrTb"/>
            <w:noWrap w:val="false"/>
          </w:tcPr>
          <w:p>
            <w:pPr>
              <w:pStyle w:val="903"/>
              <w:rPr>
                <w:color w:val="000000"/>
                <w:lang w:eastAsia="en-US"/>
              </w:rPr>
            </w:pPr>
            <w:r>
              <w:rPr>
                <w:color w:val="000000"/>
                <w:lang w:eastAsia="en-US"/>
              </w:rPr>
            </w:r>
            <w:r/>
          </w:p>
        </w:tc>
        <w:tc>
          <w:tcPr>
            <w:tcW w:w="6942" w:type="dxa"/>
            <w:vAlign w:val="top"/>
            <w:textDirection w:val="lrTb"/>
            <w:noWrap w:val="false"/>
          </w:tcPr>
          <w:p>
            <w:pPr>
              <w:pStyle w:val="903"/>
              <w:rPr>
                <w:color w:val="000000"/>
              </w:rPr>
            </w:pPr>
            <w:r>
              <w:rPr>
                <w:rFonts w:hint="eastAsia" w:ascii="宋体" w:hAnsi="宋体" w:cs="宋体"/>
                <w:color w:val="000000"/>
              </w:rPr>
              <w:t xml:space="preserve">★</w:t>
            </w:r>
            <w:r>
              <w:rPr>
                <w:color w:val="000000"/>
              </w:rPr>
              <w:t xml:space="preserve">漏洞特征库≥200000条；需要提供详细的漏洞描述和对应的解决方案描述；漏洞知识库与CVE、CNNVD、Bugtraq、CNCVE、CNVD等国际、国内漏洞库标准兼容。（提供相关截图证明）</w:t>
            </w:r>
            <w:r/>
          </w:p>
        </w:tc>
      </w:tr>
      <w:tr>
        <w:trPr>
          <w:trHeight w:val="1697"/>
        </w:trPr>
        <w:tc>
          <w:tcPr>
            <w:tcW w:w="1554" w:type="dxa"/>
            <w:vAlign w:val="center"/>
            <w:textDirection w:val="lrTb"/>
            <w:noWrap w:val="false"/>
          </w:tcPr>
          <w:p>
            <w:pPr>
              <w:pStyle w:val="903"/>
              <w:rPr>
                <w:color w:val="000000"/>
              </w:rPr>
            </w:pPr>
            <w:r>
              <w:rPr>
                <w:color w:val="000000"/>
              </w:rPr>
              <w:t xml:space="preserve">网站漏扫</w:t>
            </w:r>
            <w:r/>
          </w:p>
          <w:p>
            <w:pPr>
              <w:pStyle w:val="903"/>
              <w:rPr>
                <w:color w:val="000000"/>
              </w:rPr>
            </w:pPr>
            <w:r>
              <w:rPr>
                <w:color w:val="000000"/>
              </w:rPr>
              <w:t xml:space="preserve">功能</w:t>
            </w:r>
            <w:r/>
          </w:p>
        </w:tc>
        <w:tc>
          <w:tcPr>
            <w:tcW w:w="6942" w:type="dxa"/>
            <w:vAlign w:val="top"/>
            <w:textDirection w:val="lrTb"/>
            <w:noWrap w:val="false"/>
          </w:tcPr>
          <w:p>
            <w:pPr>
              <w:pStyle w:val="903"/>
              <w:rPr>
                <w:color w:val="000000"/>
              </w:rPr>
            </w:pPr>
            <w:r>
              <w:rPr>
                <w:color w:val="000000"/>
              </w:rPr>
              <w:t xml:space="preserve">漏洞特征库大于8000条，漏洞评分支持CVSS3.0标准。</w:t>
            </w:r>
            <w:r/>
          </w:p>
          <w:p>
            <w:pPr>
              <w:pStyle w:val="903"/>
              <w:rPr>
                <w:color w:val="000000"/>
              </w:rPr>
            </w:pPr>
            <w:r>
              <w:rPr>
                <w:color w:val="000000"/>
              </w:rPr>
              <w:t xml:space="preserve">支持对目标网站扫描设置流量限制，包括接收速率、发送速率、并发连接数、最大发送请求数等，也可以启用智能流控，防止对目标网站扫描产生影响。</w:t>
            </w:r>
            <w:r/>
          </w:p>
          <w:p>
            <w:pPr>
              <w:pStyle w:val="903"/>
              <w:rPr>
                <w:color w:val="000000"/>
              </w:rPr>
            </w:pPr>
            <w:r>
              <w:rPr>
                <w:color w:val="000000"/>
              </w:rPr>
              <w:t xml:space="preserve">存在误报漏洞可通过产品在扫描结果处支持以即时通讯的方式第一时间反馈给厂商协助修改，支持识别国内外主流Web应用防火墙品牌。</w:t>
            </w:r>
            <w:r/>
          </w:p>
        </w:tc>
      </w:tr>
      <w:tr>
        <w:trPr>
          <w:trHeight w:val="1931"/>
        </w:trPr>
        <w:tc>
          <w:tcPr>
            <w:tcW w:w="1554" w:type="dxa"/>
            <w:vAlign w:val="center"/>
            <w:textDirection w:val="lrTb"/>
            <w:noWrap w:val="false"/>
          </w:tcPr>
          <w:p>
            <w:pPr>
              <w:pStyle w:val="903"/>
              <w:rPr>
                <w:color w:val="000000"/>
              </w:rPr>
            </w:pPr>
            <w:r>
              <w:rPr>
                <w:color w:val="000000"/>
              </w:rPr>
              <w:t xml:space="preserve">数据库扫描功能</w:t>
            </w:r>
            <w:r/>
          </w:p>
        </w:tc>
        <w:tc>
          <w:tcPr>
            <w:tcW w:w="6942" w:type="dxa"/>
            <w:vAlign w:val="top"/>
            <w:textDirection w:val="lrTb"/>
            <w:noWrap w:val="false"/>
          </w:tcPr>
          <w:p>
            <w:pPr>
              <w:pStyle w:val="903"/>
              <w:rPr>
                <w:color w:val="000000"/>
              </w:rPr>
            </w:pPr>
            <w:r>
              <w:rPr>
                <w:color w:val="000000"/>
              </w:rPr>
              <w:t xml:space="preserve">支持Oracle、MySQL、SQLServer、DB2、informix、PostgreSQL、Sybase、达梦、人大金仓的授权数据库漏洞扫描</w:t>
            </w:r>
            <w:r/>
          </w:p>
          <w:p>
            <w:pPr>
              <w:pStyle w:val="903"/>
              <w:rPr>
                <w:color w:val="000000"/>
              </w:rPr>
            </w:pPr>
            <w:r>
              <w:rPr>
                <w:color w:val="000000"/>
              </w:rPr>
              <w:t xml:space="preserve">数据库扫描的漏洞库数量大于3000条</w:t>
            </w:r>
            <w:r/>
          </w:p>
          <w:p>
            <w:pPr>
              <w:pStyle w:val="903"/>
              <w:rPr>
                <w:color w:val="000000"/>
              </w:rPr>
            </w:pPr>
            <w:r>
              <w:rPr>
                <w:color w:val="000000"/>
              </w:rPr>
              <w:t xml:space="preserve">漏洞知识库与CVE、CNNVD等国际、国内漏洞库标准兼容</w:t>
            </w:r>
            <w:r/>
          </w:p>
          <w:p>
            <w:pPr>
              <w:pStyle w:val="903"/>
              <w:rPr>
                <w:color w:val="000000"/>
              </w:rPr>
            </w:pPr>
            <w:r>
              <w:rPr>
                <w:color w:val="000000"/>
              </w:rPr>
              <w:t xml:space="preserve">数据库扫描支持的检测类型大于10种，至少包括弱口令、执行权限过大、访问控制漏洞、提权漏洞、缓冲区溢出漏洞、缺省配置、访问权限绕过、PL-SQL注入、危险程序、安全信息查看等</w:t>
            </w:r>
            <w:r/>
          </w:p>
        </w:tc>
      </w:tr>
      <w:tr>
        <w:trPr>
          <w:trHeight w:val="1921"/>
        </w:trPr>
        <w:tc>
          <w:tcPr>
            <w:tcW w:w="1554" w:type="dxa"/>
            <w:vAlign w:val="center"/>
            <w:textDirection w:val="lrTb"/>
            <w:noWrap w:val="false"/>
          </w:tcPr>
          <w:p>
            <w:pPr>
              <w:pStyle w:val="903"/>
              <w:rPr>
                <w:color w:val="000000"/>
              </w:rPr>
            </w:pPr>
            <w:r>
              <w:rPr>
                <w:color w:val="000000"/>
              </w:rPr>
              <w:t xml:space="preserve">基线核查功能</w:t>
            </w:r>
            <w:r/>
          </w:p>
        </w:tc>
        <w:tc>
          <w:tcPr>
            <w:tcW w:w="6942" w:type="dxa"/>
            <w:vAlign w:val="top"/>
            <w:textDirection w:val="lrTb"/>
            <w:noWrap w:val="false"/>
          </w:tcPr>
          <w:p>
            <w:pPr>
              <w:pStyle w:val="903"/>
              <w:rPr>
                <w:color w:val="000000"/>
              </w:rPr>
            </w:pPr>
            <w:r>
              <w:rPr>
                <w:color w:val="000000"/>
              </w:rPr>
              <w:t xml:space="preserve">支持主流操作系统的基线配置检查，包括但不限于Windows、Linux、Suse、HP-UX、Solaris、AIX、Debian；支持的数据库基线配置检查包括但不限于Informix、DB2、MySQL、SQL Server、Oracle；支持的应用程序基线配置检查包括但不限于Exchange、Bind、Tongweb、Tomcat、WebSphere、Apache、Weblogic、IHS、IIS、Domino、Resin、Jboss、Nginx</w:t>
            </w:r>
            <w:r/>
          </w:p>
          <w:p>
            <w:pPr>
              <w:pStyle w:val="903"/>
              <w:rPr>
                <w:color w:val="000000"/>
              </w:rPr>
            </w:pPr>
            <w:r>
              <w:rPr>
                <w:color w:val="000000"/>
              </w:rPr>
              <w:t xml:space="preserve">基线核查的标准至少支持公安部等级保护基本要求和工信部电信网和互联网安全防护基线配置要求及检测要求</w:t>
            </w:r>
            <w:r/>
          </w:p>
        </w:tc>
      </w:tr>
      <w:tr>
        <w:trPr>
          <w:trHeight w:val="692"/>
        </w:trPr>
        <w:tc>
          <w:tcPr>
            <w:tcW w:w="1554" w:type="dxa"/>
            <w:vAlign w:val="center"/>
            <w:textDirection w:val="lrTb"/>
            <w:noWrap w:val="false"/>
          </w:tcPr>
          <w:p>
            <w:pPr>
              <w:pStyle w:val="903"/>
              <w:rPr>
                <w:color w:val="000000"/>
                <w:lang w:eastAsia="en-US"/>
              </w:rPr>
            </w:pPr>
            <w:r>
              <w:rPr>
                <w:color w:val="000000"/>
                <w:lang w:eastAsia="en-US"/>
              </w:rPr>
              <w:t xml:space="preserve">资产管理</w:t>
            </w:r>
            <w:r/>
          </w:p>
        </w:tc>
        <w:tc>
          <w:tcPr>
            <w:tcW w:w="6942" w:type="dxa"/>
            <w:vAlign w:val="top"/>
            <w:textDirection w:val="lrTb"/>
            <w:noWrap w:val="false"/>
          </w:tcPr>
          <w:p>
            <w:pPr>
              <w:pStyle w:val="903"/>
              <w:rPr>
                <w:color w:val="000000"/>
              </w:rPr>
            </w:pPr>
            <w:r>
              <w:rPr>
                <w:color w:val="000000"/>
              </w:rPr>
              <w:t xml:space="preserve">支持授权管理，对已知用户名、密码的资产可预先进行配置存放至授权管理，再下发扫描任务时能对该部分资产的授权信息同步。</w:t>
            </w:r>
            <w:r/>
          </w:p>
        </w:tc>
      </w:tr>
      <w:tr>
        <w:trPr>
          <w:cantSplit/>
          <w:trHeight w:val="542"/>
        </w:trPr>
        <w:tc>
          <w:tcPr>
            <w:tcW w:w="1554" w:type="dxa"/>
            <w:vAlign w:val="center"/>
            <w:vMerge w:val="restart"/>
            <w:textDirection w:val="lrTb"/>
            <w:noWrap w:val="false"/>
          </w:tcPr>
          <w:p>
            <w:pPr>
              <w:pStyle w:val="903"/>
              <w:rPr>
                <w:color w:val="000000"/>
              </w:rPr>
            </w:pPr>
            <w:r>
              <w:rPr>
                <w:color w:val="000000"/>
              </w:rPr>
              <w:t xml:space="preserve">资质</w:t>
            </w:r>
            <w:r>
              <w:rPr>
                <w:color w:val="000000"/>
                <w:lang w:eastAsia="en-US"/>
              </w:rPr>
              <w:t xml:space="preserve">要求</w:t>
            </w:r>
            <w:r>
              <w:rPr>
                <w:color w:val="000000"/>
              </w:rPr>
            </w:r>
            <w:r/>
          </w:p>
        </w:tc>
        <w:tc>
          <w:tcPr>
            <w:tcW w:w="6942" w:type="dxa"/>
            <w:vAlign w:val="top"/>
            <w:textDirection w:val="lrTb"/>
            <w:noWrap w:val="false"/>
          </w:tcPr>
          <w:p>
            <w:pPr>
              <w:pStyle w:val="903"/>
              <w:rPr>
                <w:color w:val="000000"/>
                <w:lang w:eastAsia="en-US"/>
              </w:rPr>
            </w:pPr>
            <w:r>
              <w:rPr>
                <w:color w:val="000000"/>
              </w:rPr>
              <w:t xml:space="preserve">产品应具有国家版权局《计算机软件著作权登记证书》（提供证书复印件）</w:t>
            </w:r>
            <w:r>
              <w:rPr>
                <w:color w:val="000000"/>
                <w:lang w:eastAsia="en-US"/>
              </w:rPr>
            </w:r>
            <w:r/>
          </w:p>
        </w:tc>
      </w:tr>
      <w:tr>
        <w:trPr>
          <w:cantSplit/>
          <w:trHeight w:val="113"/>
        </w:trPr>
        <w:tc>
          <w:tcPr>
            <w:tcW w:w="1554" w:type="dxa"/>
            <w:vAlign w:val="center"/>
            <w:vMerge w:val="continue"/>
            <w:textDirection w:val="lrTb"/>
            <w:noWrap w:val="false"/>
          </w:tcPr>
          <w:p>
            <w:pPr>
              <w:pStyle w:val="903"/>
              <w:rPr>
                <w:color w:val="000000"/>
              </w:rPr>
            </w:pPr>
            <w:r>
              <w:rPr>
                <w:color w:val="000000"/>
              </w:rPr>
            </w:r>
            <w:r/>
          </w:p>
        </w:tc>
        <w:tc>
          <w:tcPr>
            <w:tcW w:w="6942" w:type="dxa"/>
            <w:vAlign w:val="top"/>
            <w:textDirection w:val="lrTb"/>
            <w:noWrap w:val="false"/>
          </w:tcPr>
          <w:p>
            <w:pPr>
              <w:pStyle w:val="903"/>
              <w:rPr>
                <w:color w:val="000000"/>
                <w:lang w:eastAsia="en-US"/>
              </w:rPr>
            </w:pPr>
            <w:r>
              <w:rPr>
                <w:color w:val="000000"/>
              </w:rPr>
              <w:t xml:space="preserve">产品具备IPv6 Ready兼容认证（提供证书复印件）</w:t>
            </w:r>
            <w:r>
              <w:rPr>
                <w:color w:val="000000"/>
                <w:lang w:eastAsia="en-US"/>
              </w:rPr>
            </w:r>
            <w:r/>
          </w:p>
        </w:tc>
      </w:tr>
      <w:tr>
        <w:trPr>
          <w:cantSplit/>
          <w:trHeight w:val="174"/>
        </w:trPr>
        <w:tc>
          <w:tcPr>
            <w:tcW w:w="1554" w:type="dxa"/>
            <w:vAlign w:val="center"/>
            <w:vMerge w:val="continue"/>
            <w:textDirection w:val="lrTb"/>
            <w:noWrap w:val="false"/>
          </w:tcPr>
          <w:p>
            <w:pPr>
              <w:pStyle w:val="903"/>
              <w:rPr>
                <w:color w:val="000000"/>
              </w:rPr>
            </w:pPr>
            <w:r>
              <w:rPr>
                <w:color w:val="000000"/>
              </w:rPr>
            </w:r>
            <w:r/>
          </w:p>
        </w:tc>
        <w:tc>
          <w:tcPr>
            <w:tcW w:w="6942" w:type="dxa"/>
            <w:vAlign w:val="top"/>
            <w:textDirection w:val="lrTb"/>
            <w:noWrap w:val="false"/>
          </w:tcPr>
          <w:p>
            <w:pPr>
              <w:pStyle w:val="903"/>
              <w:rPr>
                <w:color w:val="000000"/>
              </w:rPr>
            </w:pPr>
            <w:r>
              <w:rPr>
                <w:color w:val="000000"/>
              </w:rPr>
              <w:t xml:space="preserve">产品具备国家信息安全漏洞库《兼容性资质证书》（提供证书复印件）</w:t>
            </w:r>
            <w:r/>
          </w:p>
        </w:tc>
      </w:tr>
      <w:tr>
        <w:trPr>
          <w:trHeight w:val="269"/>
        </w:trPr>
        <w:tc>
          <w:tcPr>
            <w:tcW w:w="1554" w:type="dxa"/>
            <w:vAlign w:val="center"/>
            <w:textDirection w:val="lrTb"/>
            <w:noWrap w:val="false"/>
          </w:tcPr>
          <w:p>
            <w:pPr>
              <w:pStyle w:val="903"/>
              <w:rPr>
                <w:b/>
                <w:i/>
                <w:iCs/>
                <w:color w:val="000000"/>
                <w:u w:val="single"/>
                <w:lang w:eastAsia="en-US"/>
              </w:rPr>
            </w:pPr>
            <w:r/>
            <w:bookmarkStart w:id="202" w:name="_Hlk109982828"/>
            <w:r/>
            <w:bookmarkStart w:id="203" w:name="OLE_LINK135"/>
            <w:r/>
            <w:bookmarkStart w:id="204" w:name="OLE_LINK136"/>
            <w:r>
              <w:rPr>
                <w:b/>
                <w:i/>
                <w:iCs/>
                <w:color w:val="000000"/>
                <w:u w:val="single"/>
                <w:lang w:eastAsia="en-US"/>
              </w:rPr>
              <w:t xml:space="preserve">服务要求</w:t>
            </w:r>
            <w:r/>
          </w:p>
        </w:tc>
        <w:tc>
          <w:tcPr>
            <w:tcW w:w="6942" w:type="dxa"/>
            <w:vAlign w:val="top"/>
            <w:textDirection w:val="lrTb"/>
            <w:noWrap w:val="false"/>
          </w:tcPr>
          <w:p>
            <w:pPr>
              <w:pStyle w:val="903"/>
              <w:rPr>
                <w:b/>
                <w:i/>
                <w:iCs/>
                <w:color w:val="000000"/>
                <w:u w:val="single"/>
                <w:lang w:eastAsia="en-US"/>
              </w:rPr>
            </w:pPr>
            <w:r/>
            <w:bookmarkStart w:id="205" w:name="OLE_LINK22"/>
            <w:r/>
            <w:bookmarkStart w:id="206" w:name="OLE_LINK21"/>
            <w:r>
              <w:rPr>
                <w:b/>
                <w:i/>
                <w:iCs/>
                <w:color w:val="000000"/>
                <w:u w:val="single"/>
                <w:lang w:eastAsia="en-US"/>
              </w:rPr>
              <w:t xml:space="preserve">提供</w:t>
            </w:r>
            <w:r>
              <w:rPr>
                <w:b/>
                <w:i/>
                <w:iCs/>
                <w:color w:val="000000"/>
                <w:u w:val="single"/>
              </w:rPr>
              <w:t xml:space="preserve">项目服务期内的</w:t>
            </w:r>
            <w:r>
              <w:rPr>
                <w:b/>
                <w:i/>
                <w:iCs/>
                <w:color w:val="000000"/>
                <w:u w:val="single"/>
                <w:lang w:eastAsia="en-US"/>
              </w:rPr>
              <w:t xml:space="preserve">硬件质保及软件升级服务</w:t>
            </w:r>
            <w:bookmarkEnd w:id="205"/>
            <w:r/>
            <w:bookmarkEnd w:id="206"/>
            <w:r>
              <w:rPr>
                <w:b/>
                <w:i/>
                <w:iCs/>
                <w:color w:val="000000"/>
                <w:u w:val="single"/>
                <w:lang w:eastAsia="en-US"/>
              </w:rPr>
            </w:r>
            <w:r/>
          </w:p>
        </w:tc>
      </w:tr>
    </w:tbl>
    <w:p>
      <w:pPr>
        <w:pStyle w:val="1025"/>
        <w:ind w:firstLine="0"/>
        <w:rPr>
          <w:rFonts w:ascii="Times New Roman" w:hAnsi="Times New Roman"/>
          <w:color w:val="000000"/>
        </w:rPr>
      </w:pPr>
      <w:r/>
      <w:bookmarkEnd w:id="202"/>
      <w:r/>
      <w:bookmarkEnd w:id="203"/>
      <w:r/>
      <w:bookmarkEnd w:id="204"/>
      <w:r>
        <w:rPr>
          <w:rFonts w:ascii="Times New Roman" w:hAnsi="Times New Roman"/>
          <w:color w:val="000000"/>
        </w:rPr>
      </w:r>
      <w:r/>
    </w:p>
    <w:p>
      <w:pPr>
        <w:pStyle w:val="907"/>
        <w:numPr>
          <w:ilvl w:val="0"/>
          <w:numId w:val="7"/>
        </w:numPr>
        <w:spacing w:before="0" w:after="0" w:line="360" w:lineRule="auto"/>
        <w:rPr>
          <w:rFonts w:ascii="Times New Roman" w:hAnsi="Times New Roman"/>
          <w:color w:val="000000"/>
        </w:rPr>
      </w:pPr>
      <w:r>
        <w:rPr>
          <w:rFonts w:ascii="Times New Roman" w:hAnsi="Times New Roman"/>
          <w:color w:val="000000"/>
        </w:rPr>
        <w:t xml:space="preserve">网络安全审查</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4"/>
        <w:gridCol w:w="7768"/>
      </w:tblGrid>
      <w:tr>
        <w:trPr>
          <w:trHeight w:val="390"/>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pStyle w:val="903"/>
              <w:rPr>
                <w:color w:val="000000"/>
              </w:rPr>
            </w:pPr>
            <w:r>
              <w:rPr>
                <w:color w:val="000000"/>
              </w:rPr>
              <w:t xml:space="preserve">技术指标</w:t>
            </w:r>
            <w:r/>
          </w:p>
        </w:tc>
        <w:tc>
          <w:tcPr>
            <w:tcBorders>
              <w:top w:val="single" w:color="000000" w:sz="4" w:space="0"/>
              <w:left w:val="single" w:color="000000" w:sz="4" w:space="0"/>
              <w:bottom w:val="single" w:color="000000" w:sz="4" w:space="0"/>
              <w:right w:val="single" w:color="000000" w:sz="4" w:space="0"/>
            </w:tcBorders>
            <w:tcW w:w="7768" w:type="dxa"/>
            <w:vAlign w:val="center"/>
            <w:textDirection w:val="lrTb"/>
            <w:noWrap w:val="false"/>
          </w:tcPr>
          <w:p>
            <w:pPr>
              <w:pStyle w:val="903"/>
              <w:rPr>
                <w:color w:val="000000"/>
              </w:rPr>
            </w:pPr>
            <w:r>
              <w:rPr>
                <w:color w:val="000000"/>
              </w:rPr>
              <w:t xml:space="preserve">参数要求</w:t>
            </w:r>
            <w:r/>
          </w:p>
        </w:tc>
      </w:tr>
      <w:tr>
        <w:trPr>
          <w:cantSplit/>
          <w:trHeight w:val="1438"/>
        </w:trPr>
        <w:tc>
          <w:tcPr>
            <w:tcW w:w="1394" w:type="dxa"/>
            <w:vAlign w:val="center"/>
            <w:vMerge w:val="restart"/>
            <w:textDirection w:val="lrTb"/>
            <w:noWrap w:val="false"/>
          </w:tcPr>
          <w:p>
            <w:pPr>
              <w:pStyle w:val="903"/>
              <w:rPr>
                <w:b/>
                <w:i/>
                <w:iCs/>
                <w:color w:val="000000"/>
                <w:u w:val="single"/>
                <w:lang w:eastAsia="en-US"/>
              </w:rPr>
            </w:pPr>
            <w:r>
              <w:rPr>
                <w:b/>
                <w:i/>
                <w:iCs/>
                <w:color w:val="000000"/>
                <w:u w:val="single"/>
                <w:lang w:eastAsia="en-US"/>
              </w:rPr>
              <w:t xml:space="preserve">设备基本</w:t>
            </w:r>
            <w:r/>
          </w:p>
          <w:p>
            <w:pPr>
              <w:pStyle w:val="903"/>
              <w:rPr>
                <w:b/>
                <w:i/>
                <w:iCs/>
                <w:color w:val="000000"/>
                <w:u w:val="single"/>
                <w:lang w:eastAsia="en-US"/>
              </w:rPr>
            </w:pPr>
            <w:r>
              <w:rPr>
                <w:b/>
                <w:i/>
                <w:iCs/>
                <w:color w:val="000000"/>
                <w:u w:val="single"/>
                <w:lang w:eastAsia="en-US"/>
              </w:rPr>
              <w:t xml:space="preserve">要求</w:t>
            </w:r>
            <w:r/>
          </w:p>
        </w:tc>
        <w:tc>
          <w:tcPr>
            <w:tcW w:w="7768" w:type="dxa"/>
            <w:vAlign w:val="top"/>
            <w:textDirection w:val="lrTb"/>
            <w:noWrap w:val="false"/>
          </w:tcPr>
          <w:p>
            <w:pPr>
              <w:pStyle w:val="903"/>
              <w:rPr>
                <w:b/>
                <w:i/>
                <w:iCs/>
                <w:color w:val="000000"/>
                <w:u w:val="single"/>
              </w:rPr>
            </w:pPr>
            <w:r>
              <w:rPr>
                <w:b/>
                <w:i/>
                <w:iCs/>
                <w:color w:val="000000"/>
                <w:u w:val="single"/>
              </w:rPr>
              <w:t xml:space="preserve">标准2U机柜型硬件平台，内置双电源，硬盘容量≥2TB HDD，电口≥12个，千兆光≥12个，万兆光口≥4个，万兆光模块≥4个，网络层吞吐量≥30 Gbps，应用层吞吐量≥16 Gbps，IPSec VPN性能≥4 Gbps，最大并发连接数≥800万，每秒新建连接数≥40万，IPSec VPN隧道数≥1024，SSL VPN接入数≥3000。</w:t>
            </w:r>
            <w:r/>
          </w:p>
        </w:tc>
      </w:tr>
      <w:tr>
        <w:trPr>
          <w:trHeight w:val="1202"/>
        </w:trPr>
        <w:tc>
          <w:tcPr>
            <w:tcW w:w="1394" w:type="dxa"/>
            <w:vAlign w:val="center"/>
            <w:textDirection w:val="lrTb"/>
            <w:noWrap w:val="false"/>
          </w:tcPr>
          <w:p>
            <w:pPr>
              <w:pStyle w:val="903"/>
              <w:rPr>
                <w:color w:val="000000"/>
              </w:rPr>
            </w:pPr>
            <w:r>
              <w:rPr>
                <w:color w:val="000000"/>
              </w:rPr>
              <w:t xml:space="preserve">部署方式</w:t>
            </w:r>
            <w:r/>
          </w:p>
        </w:tc>
        <w:tc>
          <w:tcPr>
            <w:tcW w:w="7768" w:type="dxa"/>
            <w:vAlign w:val="top"/>
            <w:textDirection w:val="lrTb"/>
            <w:noWrap w:val="false"/>
          </w:tcPr>
          <w:p>
            <w:pPr>
              <w:pStyle w:val="903"/>
              <w:rPr>
                <w:color w:val="000000"/>
              </w:rPr>
            </w:pPr>
            <w:r>
              <w:rPr>
                <w:color w:val="000000"/>
              </w:rPr>
              <w:t xml:space="preserve">支持旁路模式，支持在设备旁路部署时针对违规上网行为进行阻断过滤和针对内网上网用户进行实名身份认证。</w:t>
            </w:r>
            <w:r/>
          </w:p>
          <w:p>
            <w:pPr>
              <w:pStyle w:val="903"/>
              <w:rPr>
                <w:color w:val="000000"/>
              </w:rPr>
            </w:pPr>
            <w:r>
              <w:rPr>
                <w:color w:val="000000"/>
              </w:rPr>
              <w:t xml:space="preserve">部署模式切换无需重启设备</w:t>
            </w:r>
            <w:r/>
          </w:p>
          <w:p>
            <w:pPr>
              <w:pStyle w:val="903"/>
              <w:rPr>
                <w:color w:val="000000"/>
              </w:rPr>
            </w:pPr>
            <w:r>
              <w:rPr>
                <w:color w:val="000000"/>
              </w:rPr>
              <w:t xml:space="preserve">接口支持配置从属IP地址，每个接口要求支持至少200个从属IP。</w:t>
            </w:r>
            <w:r/>
          </w:p>
        </w:tc>
      </w:tr>
      <w:tr>
        <w:trPr>
          <w:cantSplit/>
          <w:trHeight w:val="363"/>
        </w:trPr>
        <w:tc>
          <w:tcPr>
            <w:tcW w:w="1394" w:type="dxa"/>
            <w:vAlign w:val="center"/>
            <w:vMerge w:val="restart"/>
            <w:textDirection w:val="lrTb"/>
            <w:noWrap w:val="false"/>
          </w:tcPr>
          <w:p>
            <w:pPr>
              <w:pStyle w:val="903"/>
              <w:rPr>
                <w:color w:val="000000"/>
              </w:rPr>
            </w:pPr>
            <w:r>
              <w:rPr>
                <w:color w:val="000000"/>
              </w:rPr>
              <w:t xml:space="preserve">基础功能要求</w:t>
            </w:r>
            <w:r/>
          </w:p>
        </w:tc>
        <w:tc>
          <w:tcPr>
            <w:tcW w:w="7768" w:type="dxa"/>
            <w:vAlign w:val="top"/>
            <w:textDirection w:val="lrTb"/>
            <w:noWrap w:val="false"/>
          </w:tcPr>
          <w:p>
            <w:pPr>
              <w:pStyle w:val="903"/>
              <w:rPr>
                <w:color w:val="000000"/>
              </w:rPr>
            </w:pPr>
            <w:r>
              <w:rPr>
                <w:color w:val="000000"/>
              </w:rPr>
              <w:t xml:space="preserve">支持4G USB插卡接入，实现4G连接与有线链路之间互为备份。并支持在4G接口上运行IPSec VPN。</w:t>
            </w:r>
            <w:r/>
          </w:p>
        </w:tc>
      </w:tr>
      <w:tr>
        <w:trPr>
          <w:cantSplit/>
          <w:trHeight w:val="1119"/>
        </w:trPr>
        <w:tc>
          <w:tcPr>
            <w:tcW w:w="1394" w:type="dxa"/>
            <w:vAlign w:val="center"/>
            <w:vMerge w:val="continue"/>
            <w:textDirection w:val="lrTb"/>
            <w:noWrap w:val="false"/>
          </w:tcPr>
          <w:p>
            <w:pPr>
              <w:pStyle w:val="903"/>
              <w:rPr>
                <w:color w:val="000000"/>
              </w:rPr>
            </w:pPr>
            <w:r>
              <w:rPr>
                <w:color w:val="000000"/>
              </w:rPr>
            </w:r>
            <w:r/>
          </w:p>
        </w:tc>
        <w:tc>
          <w:tcPr>
            <w:tcW w:w="7768" w:type="dxa"/>
            <w:vAlign w:val="top"/>
            <w:textDirection w:val="lrTb"/>
            <w:noWrap w:val="false"/>
          </w:tcPr>
          <w:p>
            <w:pPr>
              <w:pStyle w:val="903"/>
              <w:rPr>
                <w:color w:val="000000"/>
              </w:rPr>
            </w:pPr>
            <w:r>
              <w:rPr>
                <w:color w:val="000000"/>
              </w:rPr>
              <w:t xml:space="preserve">支持针对搜索引擎、HTTP、网页内容进行关键字过滤并实时生成日志记录，日志级别包括但不少于紧急、告警、严重、通知、信息、调试、不记录等，方便管理员快速区分用户上网行为属性和定位日志级别。</w:t>
            </w:r>
            <w:r/>
          </w:p>
          <w:p>
            <w:pPr>
              <w:pStyle w:val="903"/>
              <w:rPr>
                <w:color w:val="000000"/>
              </w:rPr>
            </w:pPr>
            <w:r>
              <w:rPr>
                <w:color w:val="000000"/>
              </w:rPr>
              <w:t xml:space="preserve">支持IPv4/IPv6双协议栈异常包攻击防御</w:t>
            </w:r>
            <w:r/>
          </w:p>
        </w:tc>
      </w:tr>
      <w:tr>
        <w:trPr>
          <w:cantSplit/>
          <w:trHeight w:val="363"/>
        </w:trPr>
        <w:tc>
          <w:tcPr>
            <w:tcW w:w="1394" w:type="dxa"/>
            <w:vAlign w:val="center"/>
            <w:vMerge w:val="continue"/>
            <w:textDirection w:val="lrTb"/>
            <w:noWrap w:val="false"/>
          </w:tcPr>
          <w:p>
            <w:pPr>
              <w:pStyle w:val="903"/>
              <w:rPr>
                <w:color w:val="000000"/>
              </w:rPr>
            </w:pPr>
            <w:r>
              <w:rPr>
                <w:color w:val="000000"/>
              </w:rPr>
            </w:r>
            <w:r/>
          </w:p>
        </w:tc>
        <w:tc>
          <w:tcPr>
            <w:tcW w:w="7768" w:type="dxa"/>
            <w:vAlign w:val="top"/>
            <w:textDirection w:val="lrTb"/>
            <w:noWrap w:val="false"/>
          </w:tcPr>
          <w:p>
            <w:pPr>
              <w:pStyle w:val="903"/>
              <w:rPr>
                <w:color w:val="000000"/>
              </w:rPr>
            </w:pPr>
            <w:r>
              <w:rPr>
                <w:color w:val="000000"/>
              </w:rPr>
              <w:t xml:space="preserve">系统定义超过8000条主流攻击规则，包含用户提权、任意代码执行、木马、后门、挖矿、Web序列化、Webshell等主流防护类型；</w:t>
            </w:r>
            <w:r/>
          </w:p>
          <w:p>
            <w:pPr>
              <w:pStyle w:val="903"/>
              <w:rPr>
                <w:color w:val="000000"/>
              </w:rPr>
            </w:pPr>
            <w:r>
              <w:rPr>
                <w:color w:val="000000"/>
              </w:rPr>
              <w:t xml:space="preserve">应用特征不少于7000个，移动应用不少于2000个。</w:t>
            </w:r>
            <w:r/>
          </w:p>
        </w:tc>
      </w:tr>
      <w:tr>
        <w:trPr>
          <w:cantSplit/>
          <w:trHeight w:val="1345"/>
        </w:trPr>
        <w:tc>
          <w:tcPr>
            <w:tcW w:w="1394" w:type="dxa"/>
            <w:vAlign w:val="center"/>
            <w:vMerge w:val="continue"/>
            <w:textDirection w:val="lrTb"/>
            <w:noWrap w:val="false"/>
          </w:tcPr>
          <w:p>
            <w:pPr>
              <w:pStyle w:val="903"/>
              <w:rPr>
                <w:color w:val="000000"/>
              </w:rPr>
            </w:pPr>
            <w:r>
              <w:rPr>
                <w:color w:val="000000"/>
              </w:rPr>
            </w:r>
            <w:r/>
          </w:p>
        </w:tc>
        <w:tc>
          <w:tcPr>
            <w:tcW w:w="7768" w:type="dxa"/>
            <w:vAlign w:val="top"/>
            <w:textDirection w:val="lrTb"/>
            <w:noWrap w:val="false"/>
          </w:tcPr>
          <w:p>
            <w:pPr>
              <w:pStyle w:val="903"/>
              <w:rPr>
                <w:color w:val="000000"/>
              </w:rPr>
            </w:pPr>
            <w:r>
              <w:rPr>
                <w:color w:val="000000"/>
              </w:rPr>
              <w:t xml:space="preserve">支持HTTP、SOCKS4/SOCKS5等方式代理上网，实现内部用户通过设备代理的方式接入互联网，可以隐藏真实IP，避免被探测和攻击。功能标配，无需增加功能授权即可使用。</w:t>
            </w:r>
            <w:r/>
          </w:p>
          <w:p>
            <w:pPr>
              <w:pStyle w:val="903"/>
              <w:rPr>
                <w:color w:val="000000"/>
              </w:rPr>
            </w:pPr>
            <w:r>
              <w:rPr>
                <w:color w:val="000000"/>
              </w:rPr>
              <w:t xml:space="preserve">支持基于7元组、域名的链路负载均衡策略；负载方式支持带宽、优先级和权重；支持接口过载保护、链路健康检查和会话保持，会话保持可实现用户的访问请求均分配至同一出口。</w:t>
            </w:r>
            <w:r/>
          </w:p>
        </w:tc>
      </w:tr>
      <w:tr>
        <w:trPr>
          <w:cantSplit/>
          <w:trHeight w:val="413"/>
        </w:trPr>
        <w:tc>
          <w:tcPr>
            <w:tcW w:w="1394" w:type="dxa"/>
            <w:vAlign w:val="center"/>
            <w:vMerge w:val="continue"/>
            <w:textDirection w:val="lrTb"/>
            <w:noWrap w:val="false"/>
          </w:tcPr>
          <w:p>
            <w:pPr>
              <w:pStyle w:val="903"/>
              <w:rPr>
                <w:color w:val="000000"/>
              </w:rPr>
            </w:pPr>
            <w:r>
              <w:rPr>
                <w:color w:val="000000"/>
              </w:rPr>
            </w:r>
            <w:r/>
          </w:p>
        </w:tc>
        <w:tc>
          <w:tcPr>
            <w:tcW w:w="7768" w:type="dxa"/>
            <w:vAlign w:val="top"/>
            <w:textDirection w:val="lrTb"/>
            <w:noWrap w:val="false"/>
          </w:tcPr>
          <w:p>
            <w:pPr>
              <w:pStyle w:val="903"/>
              <w:rPr>
                <w:color w:val="000000"/>
              </w:rPr>
            </w:pPr>
            <w:r>
              <w:rPr>
                <w:color w:val="000000"/>
              </w:rPr>
              <w:t xml:space="preserve">支持APP认证，智能解析用户上网流量，获取APP特征和用户名信息，当存在未安装APP或未实名登录APP时，系统阻断用户上网请求并弹送APP安装页面；支持兼容PC、iOS、Android等系统，支持IP和域名白名单，放通与APP服务器交付流量。</w:t>
            </w:r>
            <w:r/>
          </w:p>
        </w:tc>
      </w:tr>
      <w:tr>
        <w:trPr>
          <w:trHeight w:val="363"/>
        </w:trPr>
        <w:tc>
          <w:tcPr>
            <w:tcW w:w="1394" w:type="dxa"/>
            <w:vAlign w:val="center"/>
            <w:textDirection w:val="lrTb"/>
            <w:noWrap w:val="false"/>
          </w:tcPr>
          <w:p>
            <w:pPr>
              <w:pStyle w:val="903"/>
              <w:rPr>
                <w:color w:val="000000"/>
              </w:rPr>
            </w:pPr>
            <w:r>
              <w:rPr>
                <w:color w:val="000000"/>
              </w:rPr>
              <w:t xml:space="preserve">QoS</w:t>
            </w:r>
            <w:r/>
          </w:p>
        </w:tc>
        <w:tc>
          <w:tcPr>
            <w:tcW w:w="7768" w:type="dxa"/>
            <w:vAlign w:val="top"/>
            <w:textDirection w:val="lrTb"/>
            <w:noWrap w:val="false"/>
          </w:tcPr>
          <w:p>
            <w:pPr>
              <w:pStyle w:val="903"/>
              <w:rPr>
                <w:color w:val="000000"/>
              </w:rPr>
            </w:pPr>
            <w:r>
              <w:rPr>
                <w:rFonts w:hint="eastAsia" w:ascii="宋体" w:hAnsi="宋体" w:cs="宋体"/>
                <w:color w:val="000000"/>
              </w:rPr>
              <w:t xml:space="preserve">★</w:t>
            </w:r>
            <w:r>
              <w:rPr>
                <w:color w:val="000000"/>
              </w:rPr>
              <w:t xml:space="preserve">支持基于线路和多层通道嵌套的带宽管理和流量控制功能，提供至少四层管道嵌套；支持基于地址、用户、服务、应用、时间、终端型号、VLAN、DSCP等匹配条件进行流量控制；并支持配置保障带宽、最大带宽、每IP带宽、每用户带宽、带宽优先级等QoS动作。</w:t>
            </w:r>
            <w:r/>
          </w:p>
          <w:p>
            <w:pPr>
              <w:pStyle w:val="903"/>
              <w:rPr>
                <w:color w:val="000000"/>
              </w:rPr>
            </w:pPr>
            <w:r>
              <w:rPr>
                <w:color w:val="000000"/>
              </w:rPr>
              <w:t xml:space="preserve">（提供具有CNAS标识的检测报告复印件）</w:t>
            </w:r>
            <w:r/>
          </w:p>
        </w:tc>
      </w:tr>
      <w:tr>
        <w:trPr>
          <w:trHeight w:val="363"/>
        </w:trPr>
        <w:tc>
          <w:tcPr>
            <w:tcW w:w="1394" w:type="dxa"/>
            <w:vAlign w:val="center"/>
            <w:textDirection w:val="lrTb"/>
            <w:noWrap w:val="false"/>
          </w:tcPr>
          <w:p>
            <w:pPr>
              <w:pStyle w:val="903"/>
              <w:rPr>
                <w:color w:val="000000"/>
              </w:rPr>
            </w:pPr>
            <w:r>
              <w:rPr>
                <w:color w:val="000000"/>
              </w:rPr>
              <w:t xml:space="preserve">策略路由</w:t>
            </w:r>
            <w:r/>
          </w:p>
        </w:tc>
        <w:tc>
          <w:tcPr>
            <w:tcW w:w="7768" w:type="dxa"/>
            <w:vAlign w:val="top"/>
            <w:textDirection w:val="lrTb"/>
            <w:noWrap w:val="false"/>
          </w:tcPr>
          <w:p>
            <w:pPr>
              <w:pStyle w:val="903"/>
              <w:rPr>
                <w:color w:val="000000"/>
              </w:rPr>
            </w:pPr>
            <w:r>
              <w:rPr>
                <w:rFonts w:hint="eastAsia" w:ascii="宋体" w:hAnsi="宋体" w:cs="宋体"/>
                <w:color w:val="000000"/>
              </w:rPr>
              <w:t xml:space="preserve">★</w:t>
            </w:r>
            <w:r>
              <w:rPr>
                <w:color w:val="000000"/>
              </w:rPr>
              <w:t xml:space="preserve">支持基于入接口、源地址、目标地址、用户、服务、应用、时间、域名的策略路由。以上参数提供Web配置界面截图。</w:t>
            </w:r>
            <w:r/>
          </w:p>
          <w:p>
            <w:pPr>
              <w:pStyle w:val="903"/>
              <w:rPr>
                <w:color w:val="000000"/>
              </w:rPr>
            </w:pPr>
            <w:r>
              <w:rPr>
                <w:color w:val="000000"/>
              </w:rPr>
              <w:t xml:space="preserve">（提供具有CNAS标识的检测报告复印件）</w:t>
            </w:r>
            <w:r/>
          </w:p>
        </w:tc>
      </w:tr>
      <w:tr>
        <w:trPr>
          <w:cantSplit/>
          <w:trHeight w:val="363"/>
        </w:trPr>
        <w:tc>
          <w:tcPr>
            <w:tcW w:w="1394" w:type="dxa"/>
            <w:vAlign w:val="center"/>
            <w:vMerge w:val="restart"/>
            <w:textDirection w:val="lrTb"/>
            <w:noWrap w:val="false"/>
          </w:tcPr>
          <w:p>
            <w:pPr>
              <w:pStyle w:val="903"/>
              <w:rPr>
                <w:color w:val="000000"/>
              </w:rPr>
            </w:pPr>
            <w:r>
              <w:rPr>
                <w:color w:val="000000"/>
              </w:rPr>
              <w:t xml:space="preserve">资质要求</w:t>
            </w:r>
            <w:r/>
          </w:p>
        </w:tc>
        <w:tc>
          <w:tcPr>
            <w:tcW w:w="7768" w:type="dxa"/>
            <w:vAlign w:val="top"/>
            <w:textDirection w:val="lrTb"/>
            <w:noWrap w:val="false"/>
          </w:tcPr>
          <w:p>
            <w:pPr>
              <w:pStyle w:val="903"/>
              <w:rPr>
                <w:color w:val="000000"/>
              </w:rPr>
            </w:pPr>
            <w:r>
              <w:rPr>
                <w:color w:val="000000"/>
              </w:rPr>
              <w:t xml:space="preserve">具备全球IPv6测试中心颁布的《IPv6 Ready Logo证书》（提供证书复印件）</w:t>
            </w:r>
            <w:r/>
          </w:p>
        </w:tc>
      </w:tr>
      <w:tr>
        <w:trPr>
          <w:cantSplit/>
          <w:trHeight w:val="363"/>
        </w:trPr>
        <w:tc>
          <w:tcPr>
            <w:tcW w:w="1394" w:type="dxa"/>
            <w:vAlign w:val="center"/>
            <w:vMerge w:val="continue"/>
            <w:textDirection w:val="lrTb"/>
            <w:noWrap w:val="false"/>
          </w:tcPr>
          <w:p>
            <w:pPr>
              <w:pStyle w:val="903"/>
              <w:rPr>
                <w:color w:val="000000"/>
              </w:rPr>
            </w:pPr>
            <w:r>
              <w:rPr>
                <w:color w:val="000000"/>
              </w:rPr>
            </w:r>
            <w:r/>
          </w:p>
        </w:tc>
        <w:tc>
          <w:tcPr>
            <w:tcW w:w="7768" w:type="dxa"/>
            <w:vAlign w:val="top"/>
            <w:textDirection w:val="lrTb"/>
            <w:noWrap w:val="false"/>
          </w:tcPr>
          <w:p>
            <w:pPr>
              <w:pStyle w:val="903"/>
              <w:rPr>
                <w:color w:val="000000"/>
                <w:lang w:eastAsia="en-US"/>
              </w:rPr>
            </w:pPr>
            <w:r>
              <w:rPr>
                <w:color w:val="000000"/>
                <w:lang w:eastAsia="en-US"/>
              </w:rPr>
              <w:t xml:space="preserve">具备</w:t>
            </w:r>
            <w:r>
              <w:rPr>
                <w:color w:val="000000"/>
              </w:rPr>
              <w:t xml:space="preserve">《计算机软件著作权登记证书》（提供证书复印件）</w:t>
            </w:r>
            <w:r>
              <w:rPr>
                <w:color w:val="000000"/>
                <w:lang w:eastAsia="en-US"/>
              </w:rPr>
            </w:r>
            <w:r/>
          </w:p>
        </w:tc>
      </w:tr>
      <w:tr>
        <w:trPr>
          <w:cantSplit/>
          <w:trHeight w:val="363"/>
        </w:trPr>
        <w:tc>
          <w:tcPr>
            <w:tcW w:w="1394" w:type="dxa"/>
            <w:vAlign w:val="center"/>
            <w:vMerge w:val="continue"/>
            <w:textDirection w:val="lrTb"/>
            <w:noWrap w:val="false"/>
          </w:tcPr>
          <w:p>
            <w:pPr>
              <w:pStyle w:val="903"/>
              <w:rPr>
                <w:color w:val="000000"/>
              </w:rPr>
            </w:pPr>
            <w:r>
              <w:rPr>
                <w:color w:val="000000"/>
              </w:rPr>
            </w:r>
            <w:r/>
          </w:p>
        </w:tc>
        <w:tc>
          <w:tcPr>
            <w:tcW w:w="7768" w:type="dxa"/>
            <w:vAlign w:val="top"/>
            <w:textDirection w:val="lrTb"/>
            <w:noWrap w:val="false"/>
          </w:tcPr>
          <w:p>
            <w:pPr>
              <w:pStyle w:val="903"/>
              <w:rPr>
                <w:color w:val="000000"/>
                <w:lang w:eastAsia="en-US"/>
              </w:rPr>
            </w:pPr>
            <w:r>
              <w:rPr>
                <w:color w:val="000000"/>
                <w:lang w:eastAsia="en-US"/>
              </w:rPr>
              <w:t xml:space="preserve">具备</w:t>
            </w:r>
            <w:r>
              <w:rPr>
                <w:color w:val="000000"/>
              </w:rPr>
              <w:t xml:space="preserve">《电信设备进网许可证》（提供证书复印件）</w:t>
            </w:r>
            <w:r>
              <w:rPr>
                <w:color w:val="000000"/>
                <w:lang w:eastAsia="en-US"/>
              </w:rPr>
            </w:r>
            <w:r/>
          </w:p>
        </w:tc>
      </w:tr>
      <w:tr>
        <w:trPr>
          <w:trHeight w:val="363"/>
        </w:trPr>
        <w:tc>
          <w:tcPr>
            <w:tcW w:w="1394" w:type="dxa"/>
            <w:vAlign w:val="center"/>
            <w:textDirection w:val="lrTb"/>
            <w:noWrap w:val="false"/>
          </w:tcPr>
          <w:p>
            <w:pPr>
              <w:pStyle w:val="903"/>
              <w:rPr>
                <w:b/>
                <w:i/>
                <w:iCs/>
                <w:color w:val="000000"/>
                <w:u w:val="single"/>
                <w:lang w:eastAsia="en-US"/>
              </w:rPr>
            </w:pPr>
            <w:r>
              <w:rPr>
                <w:b/>
                <w:i/>
                <w:iCs/>
                <w:color w:val="000000"/>
                <w:u w:val="single"/>
                <w:lang w:eastAsia="en-US"/>
              </w:rPr>
              <w:t xml:space="preserve">服务要求</w:t>
            </w:r>
            <w:r/>
          </w:p>
        </w:tc>
        <w:tc>
          <w:tcPr>
            <w:tcW w:w="7768" w:type="dxa"/>
            <w:vAlign w:val="center"/>
            <w:textDirection w:val="lrTb"/>
            <w:noWrap w:val="false"/>
          </w:tcPr>
          <w:p>
            <w:pPr>
              <w:pStyle w:val="903"/>
              <w:rPr>
                <w:b/>
                <w:i/>
                <w:iCs/>
                <w:color w:val="000000"/>
                <w:u w:val="single"/>
                <w:lang w:eastAsia="en-US"/>
              </w:rPr>
            </w:pPr>
            <w:r/>
            <w:bookmarkStart w:id="207" w:name="OLE_LINK41"/>
            <w:r/>
            <w:bookmarkStart w:id="208" w:name="OLE_LINK40"/>
            <w:r>
              <w:rPr>
                <w:b/>
                <w:i/>
                <w:iCs/>
                <w:color w:val="000000"/>
                <w:u w:val="single"/>
                <w:lang w:eastAsia="en-US"/>
              </w:rPr>
              <w:t xml:space="preserve">提供</w:t>
            </w:r>
            <w:r>
              <w:rPr>
                <w:b/>
                <w:i/>
                <w:iCs/>
                <w:color w:val="000000"/>
                <w:u w:val="single"/>
              </w:rPr>
              <w:t xml:space="preserve">项目服务期内的</w:t>
            </w:r>
            <w:r>
              <w:rPr>
                <w:b/>
                <w:i/>
                <w:iCs/>
                <w:color w:val="000000"/>
                <w:u w:val="single"/>
                <w:lang w:eastAsia="en-US"/>
              </w:rPr>
              <w:t xml:space="preserve">硬件质保及软件升级服务</w:t>
            </w:r>
            <w:bookmarkEnd w:id="207"/>
            <w:r/>
            <w:bookmarkEnd w:id="208"/>
            <w:r>
              <w:rPr>
                <w:b/>
                <w:i/>
                <w:iCs/>
                <w:color w:val="000000"/>
                <w:u w:val="single"/>
                <w:lang w:eastAsia="en-US"/>
              </w:rPr>
            </w:r>
            <w:r/>
          </w:p>
        </w:tc>
      </w:tr>
    </w:tbl>
    <w:p>
      <w:pPr>
        <w:pStyle w:val="1025"/>
        <w:ind w:firstLine="0"/>
        <w:rPr>
          <w:rFonts w:ascii="Times New Roman" w:hAnsi="Times New Roman"/>
          <w:color w:val="000000"/>
        </w:rPr>
      </w:pPr>
      <w:r>
        <w:rPr>
          <w:rFonts w:ascii="Times New Roman" w:hAnsi="Times New Roman"/>
          <w:color w:val="000000"/>
        </w:rPr>
      </w:r>
      <w:r/>
    </w:p>
    <w:p>
      <w:pPr>
        <w:pStyle w:val="907"/>
        <w:numPr>
          <w:ilvl w:val="0"/>
          <w:numId w:val="7"/>
        </w:numPr>
        <w:spacing w:before="0" w:after="0" w:line="360" w:lineRule="auto"/>
        <w:rPr>
          <w:rFonts w:ascii="Times New Roman" w:hAnsi="Times New Roman"/>
          <w:color w:val="000000"/>
        </w:rPr>
      </w:pPr>
      <w:r>
        <w:rPr>
          <w:rFonts w:ascii="Times New Roman" w:hAnsi="Times New Roman"/>
          <w:color w:val="000000"/>
        </w:rPr>
        <w:t xml:space="preserve">日志审计产品</w:t>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6"/>
        <w:gridCol w:w="7767"/>
      </w:tblGrid>
      <w:tr>
        <w:trPr>
          <w:trHeight w:val="616"/>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903"/>
              <w:rPr>
                <w:color w:val="000000"/>
              </w:rPr>
            </w:pPr>
            <w:r/>
            <w:bookmarkStart w:id="209" w:name="OLE_LINK66"/>
            <w:r/>
            <w:bookmarkStart w:id="210" w:name="OLE_LINK67"/>
            <w:r/>
            <w:bookmarkStart w:id="211" w:name="_Hlk109982000"/>
            <w:r>
              <w:rPr>
                <w:color w:val="000000"/>
              </w:rPr>
              <w:t xml:space="preserve">技术指标</w:t>
            </w:r>
            <w:r/>
          </w:p>
        </w:tc>
        <w:tc>
          <w:tcPr>
            <w:tcBorders>
              <w:top w:val="single" w:color="000000" w:sz="4" w:space="0"/>
              <w:left w:val="single" w:color="000000" w:sz="4" w:space="0"/>
              <w:bottom w:val="single" w:color="000000" w:sz="4" w:space="0"/>
              <w:right w:val="single" w:color="000000" w:sz="4" w:space="0"/>
            </w:tcBorders>
            <w:tcW w:w="7767" w:type="dxa"/>
            <w:vAlign w:val="center"/>
            <w:textDirection w:val="lrTb"/>
            <w:noWrap w:val="false"/>
          </w:tcPr>
          <w:p>
            <w:pPr>
              <w:pStyle w:val="903"/>
              <w:rPr>
                <w:color w:val="000000"/>
              </w:rPr>
            </w:pPr>
            <w:r>
              <w:rPr>
                <w:color w:val="000000"/>
              </w:rPr>
              <w:t xml:space="preserve">参数要求</w:t>
            </w:r>
            <w:r/>
          </w:p>
        </w:tc>
      </w:tr>
      <w:tr>
        <w:trPr>
          <w:trHeight w:val="922"/>
        </w:trPr>
        <w:tc>
          <w:tcPr>
            <w:tcW w:w="1396" w:type="dxa"/>
            <w:vAlign w:val="center"/>
            <w:textDirection w:val="lrTb"/>
            <w:noWrap w:val="false"/>
          </w:tcPr>
          <w:p>
            <w:pPr>
              <w:pStyle w:val="903"/>
              <w:rPr>
                <w:b/>
                <w:i/>
                <w:iCs/>
                <w:color w:val="000000"/>
                <w:u w:val="single"/>
                <w:lang w:eastAsia="en-US"/>
              </w:rPr>
            </w:pPr>
            <w:r>
              <w:rPr>
                <w:b/>
                <w:i/>
                <w:iCs/>
                <w:color w:val="000000"/>
                <w:u w:val="single"/>
                <w:lang w:eastAsia="en-US"/>
              </w:rPr>
              <w:t xml:space="preserve">设备基本</w:t>
            </w:r>
            <w:r/>
          </w:p>
          <w:p>
            <w:pPr>
              <w:pStyle w:val="903"/>
              <w:rPr>
                <w:b/>
                <w:i/>
                <w:iCs/>
                <w:color w:val="000000"/>
                <w:u w:val="single"/>
                <w:lang w:eastAsia="en-US"/>
              </w:rPr>
            </w:pPr>
            <w:r>
              <w:rPr>
                <w:b/>
                <w:i/>
                <w:iCs/>
                <w:color w:val="000000"/>
                <w:u w:val="single"/>
                <w:lang w:eastAsia="en-US"/>
              </w:rPr>
              <w:t xml:space="preserve">要求</w:t>
            </w:r>
            <w:r/>
          </w:p>
        </w:tc>
        <w:tc>
          <w:tcPr>
            <w:tcW w:w="7767" w:type="dxa"/>
            <w:vAlign w:val="top"/>
            <w:textDirection w:val="lrTb"/>
            <w:noWrap w:val="false"/>
          </w:tcPr>
          <w:p>
            <w:pPr>
              <w:pStyle w:val="903"/>
              <w:rPr>
                <w:b/>
                <w:i/>
                <w:iCs/>
                <w:color w:val="000000"/>
                <w:u w:val="single"/>
              </w:rPr>
            </w:pPr>
            <w:r>
              <w:rPr>
                <w:b/>
                <w:i/>
                <w:iCs/>
                <w:color w:val="000000"/>
                <w:u w:val="single"/>
              </w:rPr>
              <w:t xml:space="preserve">标准机架式硬件，2U设备，国产CPU，国产操作系统，</w:t>
            </w:r>
            <w:r>
              <w:rPr>
                <w:b/>
                <w:i/>
                <w:iCs/>
                <w:color w:val="000000"/>
                <w:u w:val="single"/>
                <w:lang w:eastAsia="en-US"/>
              </w:rPr>
              <w:t xml:space="preserve">千兆电口</w:t>
            </w:r>
            <w:r>
              <w:rPr>
                <w:b/>
                <w:i/>
                <w:iCs/>
                <w:color w:val="000000"/>
                <w:u w:val="single"/>
              </w:rPr>
              <w:t xml:space="preserve">≥6个</w:t>
            </w:r>
            <w:r>
              <w:rPr>
                <w:b/>
                <w:i/>
                <w:iCs/>
                <w:color w:val="000000"/>
                <w:u w:val="single"/>
                <w:lang w:eastAsia="en-US"/>
              </w:rPr>
              <w:t xml:space="preserve">，</w:t>
            </w:r>
            <w:r>
              <w:rPr>
                <w:b/>
                <w:i/>
                <w:iCs/>
                <w:color w:val="000000"/>
                <w:u w:val="single"/>
              </w:rPr>
              <w:t xml:space="preserve">千兆光口≥4，千兆模块≥2个，磁盘≥4T，冗余电源；支持审计≥550个日志源；日志峰值处理能力≥15000/秒。</w:t>
            </w:r>
            <w:r/>
          </w:p>
        </w:tc>
      </w:tr>
      <w:tr>
        <w:trPr>
          <w:trHeight w:val="1292"/>
        </w:trPr>
        <w:tc>
          <w:tcPr>
            <w:tcW w:w="1396" w:type="dxa"/>
            <w:vAlign w:val="center"/>
            <w:textDirection w:val="lrTb"/>
            <w:noWrap w:val="false"/>
          </w:tcPr>
          <w:p>
            <w:pPr>
              <w:pStyle w:val="903"/>
              <w:rPr>
                <w:color w:val="000000"/>
              </w:rPr>
            </w:pPr>
            <w:r>
              <w:rPr>
                <w:color w:val="000000"/>
              </w:rPr>
              <w:t xml:space="preserve">部署方式</w:t>
            </w:r>
            <w:r/>
          </w:p>
        </w:tc>
        <w:tc>
          <w:tcPr>
            <w:tcW w:w="7767" w:type="dxa"/>
            <w:vAlign w:val="top"/>
            <w:textDirection w:val="lrTb"/>
            <w:noWrap w:val="false"/>
          </w:tcPr>
          <w:p>
            <w:pPr>
              <w:pStyle w:val="903"/>
              <w:rPr>
                <w:color w:val="000000"/>
              </w:rPr>
            </w:pPr>
            <w:r>
              <w:rPr>
                <w:color w:val="000000"/>
              </w:rPr>
              <w:t xml:space="preserve">支持分布式部署，支持页面一键添加子节点，自动进行绑定添加，采集器可以选择同步日志范围，按需转发数据；</w:t>
            </w:r>
            <w:r/>
          </w:p>
          <w:p>
            <w:pPr>
              <w:pStyle w:val="903"/>
              <w:rPr>
                <w:color w:val="000000"/>
              </w:rPr>
            </w:pPr>
            <w:r>
              <w:rPr>
                <w:color w:val="000000"/>
              </w:rPr>
              <w:t xml:space="preserve">支持集中式管理和升级模式；</w:t>
            </w:r>
            <w:r/>
          </w:p>
          <w:p>
            <w:pPr>
              <w:pStyle w:val="903"/>
              <w:rPr>
                <w:color w:val="000000"/>
              </w:rPr>
            </w:pPr>
            <w:r>
              <w:rPr>
                <w:color w:val="000000"/>
              </w:rPr>
              <w:t xml:space="preserve">采用B/S架构操作方式，无需客户端安装；</w:t>
            </w:r>
            <w:r/>
          </w:p>
        </w:tc>
      </w:tr>
      <w:tr>
        <w:trPr>
          <w:trHeight w:val="1007"/>
        </w:trPr>
        <w:tc>
          <w:tcPr>
            <w:tcW w:w="1396" w:type="dxa"/>
            <w:vAlign w:val="center"/>
            <w:textDirection w:val="lrTb"/>
            <w:noWrap w:val="false"/>
          </w:tcPr>
          <w:p>
            <w:pPr>
              <w:pStyle w:val="903"/>
              <w:rPr>
                <w:color w:val="000000"/>
              </w:rPr>
            </w:pPr>
            <w:r/>
            <w:bookmarkEnd w:id="209"/>
            <w:r/>
            <w:bookmarkEnd w:id="210"/>
            <w:r/>
            <w:bookmarkEnd w:id="211"/>
            <w:r>
              <w:rPr>
                <w:color w:val="000000"/>
              </w:rPr>
              <w:t xml:space="preserve">日志收集</w:t>
            </w:r>
            <w:r/>
          </w:p>
        </w:tc>
        <w:tc>
          <w:tcPr>
            <w:tcW w:w="7767" w:type="dxa"/>
            <w:vAlign w:val="top"/>
            <w:textDirection w:val="lrTb"/>
            <w:noWrap w:val="false"/>
          </w:tcPr>
          <w:p>
            <w:pPr>
              <w:pStyle w:val="903"/>
              <w:rPr>
                <w:color w:val="000000"/>
              </w:rPr>
            </w:pPr>
            <w:r>
              <w:rPr>
                <w:color w:val="000000"/>
              </w:rPr>
              <w:t xml:space="preserve">支持Syslog、SNMP Trap、HTTP、ODBC/JDBC、WMI、FTP、SFTP协议日志收集；</w:t>
            </w:r>
            <w:r/>
          </w:p>
          <w:p>
            <w:pPr>
              <w:pStyle w:val="903"/>
              <w:rPr>
                <w:color w:val="000000"/>
              </w:rPr>
            </w:pPr>
            <w:r>
              <w:rPr>
                <w:color w:val="000000"/>
              </w:rPr>
              <w:t xml:space="preserve">支持目前主流的网络安全设备、交换设备、路由设备、操作系统、应用系统等；</w:t>
            </w:r>
            <w:r/>
          </w:p>
          <w:p>
            <w:pPr>
              <w:pStyle w:val="903"/>
              <w:rPr>
                <w:color w:val="000000"/>
              </w:rPr>
            </w:pPr>
            <w:r>
              <w:rPr>
                <w:color w:val="000000"/>
              </w:rPr>
              <w:t xml:space="preserve">支持对Agent进行统一管控，包括卸载、升级、启动及停止操作，支持将日志收集策略统一分发。</w:t>
            </w:r>
            <w:r/>
          </w:p>
        </w:tc>
      </w:tr>
      <w:tr>
        <w:trPr>
          <w:trHeight w:val="2170"/>
        </w:trPr>
        <w:tc>
          <w:tcPr>
            <w:tcW w:w="1396" w:type="dxa"/>
            <w:vAlign w:val="center"/>
            <w:textDirection w:val="lrTb"/>
            <w:noWrap w:val="false"/>
          </w:tcPr>
          <w:p>
            <w:pPr>
              <w:pStyle w:val="903"/>
              <w:rPr>
                <w:color w:val="000000"/>
              </w:rPr>
            </w:pPr>
            <w:r>
              <w:rPr>
                <w:color w:val="000000"/>
              </w:rPr>
              <w:t xml:space="preserve">日志分析</w:t>
            </w:r>
            <w:r/>
          </w:p>
        </w:tc>
        <w:tc>
          <w:tcPr>
            <w:tcW w:w="7767" w:type="dxa"/>
            <w:vAlign w:val="top"/>
            <w:textDirection w:val="lrTb"/>
            <w:noWrap w:val="false"/>
          </w:tcPr>
          <w:p>
            <w:pPr>
              <w:pStyle w:val="903"/>
              <w:rPr>
                <w:color w:val="000000"/>
              </w:rPr>
            </w:pPr>
            <w:r>
              <w:rPr>
                <w:color w:val="000000"/>
              </w:rPr>
              <w:t xml:space="preserve">可以基于日志等级进行过滤，可以通过自定义配置过滤掉用户不关心的日志；</w:t>
            </w:r>
            <w:r/>
          </w:p>
          <w:p>
            <w:pPr>
              <w:pStyle w:val="903"/>
              <w:rPr>
                <w:color w:val="000000"/>
              </w:rPr>
            </w:pPr>
            <w:r>
              <w:rPr>
                <w:color w:val="000000"/>
              </w:rPr>
              <w:t xml:space="preserve">内置&gt;=5000种解析规则，支持对收集的&gt;=5000种设备类型日志进行解析（标准化、归一化），解析规则可以根据客户要求定制扩展</w:t>
            </w:r>
            <w:r/>
          </w:p>
          <w:p>
            <w:pPr>
              <w:pStyle w:val="903"/>
              <w:rPr>
                <w:color w:val="000000"/>
              </w:rPr>
            </w:pPr>
            <w:r>
              <w:rPr>
                <w:color w:val="000000"/>
              </w:rPr>
              <w:t xml:space="preserve">具备安全评估模型，评估模型基于设备故障、认证登录、攻击威胁、可用性、系统脆弱性等纬度加权平均计算总体安全指数。安全评估模型可以显示总体评分、历史评分趋势。安全评估模型各项指标可钻取具体的评分扣分事件</w:t>
            </w:r>
            <w:r/>
          </w:p>
          <w:p>
            <w:pPr>
              <w:pStyle w:val="903"/>
              <w:rPr>
                <w:color w:val="000000"/>
              </w:rPr>
            </w:pPr>
            <w:r>
              <w:rPr>
                <w:color w:val="000000"/>
              </w:rPr>
              <w:t xml:space="preserve">内置设备异常、漏洞利用、横向渗透、权限提升、命令执行、可疑行为，这6大类的安全分析场景。</w:t>
            </w:r>
            <w:r/>
          </w:p>
        </w:tc>
      </w:tr>
      <w:tr>
        <w:trPr>
          <w:trHeight w:val="839"/>
        </w:trPr>
        <w:tc>
          <w:tcPr>
            <w:tcW w:w="1396" w:type="dxa"/>
            <w:vAlign w:val="center"/>
            <w:textDirection w:val="lrTb"/>
            <w:noWrap w:val="false"/>
          </w:tcPr>
          <w:p>
            <w:pPr>
              <w:pStyle w:val="903"/>
              <w:rPr>
                <w:color w:val="000000"/>
              </w:rPr>
            </w:pPr>
            <w:r>
              <w:rPr>
                <w:color w:val="000000"/>
              </w:rPr>
              <w:t xml:space="preserve">日志备份</w:t>
            </w:r>
            <w:r/>
          </w:p>
        </w:tc>
        <w:tc>
          <w:tcPr>
            <w:tcW w:w="7767" w:type="dxa"/>
            <w:vAlign w:val="top"/>
            <w:textDirection w:val="lrTb"/>
            <w:noWrap w:val="false"/>
          </w:tcPr>
          <w:p>
            <w:pPr>
              <w:pStyle w:val="903"/>
              <w:rPr>
                <w:color w:val="000000"/>
              </w:rPr>
            </w:pPr>
            <w:r>
              <w:rPr>
                <w:color w:val="000000"/>
              </w:rPr>
              <w:t xml:space="preserve">支持目前主流的网络安全设备、交换设备、路由设备、操作系统、应用系统等；</w:t>
            </w:r>
            <w:r/>
          </w:p>
          <w:p>
            <w:pPr>
              <w:pStyle w:val="903"/>
              <w:rPr>
                <w:color w:val="000000"/>
              </w:rPr>
            </w:pPr>
            <w:r>
              <w:rPr>
                <w:color w:val="000000"/>
              </w:rPr>
              <w:t xml:space="preserve">支持日志备份自动传送到远程服务器；</w:t>
            </w:r>
            <w:r/>
          </w:p>
          <w:p>
            <w:pPr>
              <w:pStyle w:val="903"/>
              <w:rPr>
                <w:color w:val="000000"/>
              </w:rPr>
            </w:pPr>
            <w:r>
              <w:rPr>
                <w:color w:val="000000"/>
              </w:rPr>
              <w:t xml:space="preserve">支持FTP、SAMBA、NFS和FILE，4种方式的远程服务器</w:t>
            </w:r>
            <w:r/>
          </w:p>
        </w:tc>
      </w:tr>
      <w:tr>
        <w:trPr>
          <w:trHeight w:val="1102"/>
        </w:trPr>
        <w:tc>
          <w:tcPr>
            <w:tcW w:w="1396" w:type="dxa"/>
            <w:vAlign w:val="center"/>
            <w:textDirection w:val="lrTb"/>
            <w:noWrap w:val="false"/>
          </w:tcPr>
          <w:p>
            <w:pPr>
              <w:pStyle w:val="903"/>
              <w:rPr>
                <w:color w:val="000000"/>
              </w:rPr>
            </w:pPr>
            <w:r>
              <w:rPr>
                <w:color w:val="000000"/>
              </w:rPr>
              <w:t xml:space="preserve">日志查询</w:t>
            </w:r>
            <w:r/>
          </w:p>
        </w:tc>
        <w:tc>
          <w:tcPr>
            <w:tcW w:w="7767" w:type="dxa"/>
            <w:vAlign w:val="top"/>
            <w:textDirection w:val="lrTb"/>
            <w:noWrap w:val="false"/>
          </w:tcPr>
          <w:p>
            <w:pPr>
              <w:pStyle w:val="903"/>
              <w:rPr>
                <w:color w:val="000000"/>
              </w:rPr>
            </w:pPr>
            <w:r>
              <w:rPr>
                <w:color w:val="000000"/>
              </w:rPr>
              <w:t xml:space="preserve">支持B/S模式管理，支持SSL加密模式访问；</w:t>
            </w:r>
            <w:r/>
          </w:p>
          <w:p>
            <w:pPr>
              <w:pStyle w:val="903"/>
              <w:rPr>
                <w:color w:val="000000"/>
              </w:rPr>
            </w:pPr>
            <w:r>
              <w:rPr>
                <w:color w:val="000000"/>
              </w:rPr>
              <w:t xml:space="preserve">支持按日期、时间、设备类型、日志类型、日志来源、威胁值、源地址、目的地址、事件类型、时间范围、操作对象、技术方式、技术动作、技术效果、攻击类型、地理城市等参数进行过滤查询；</w:t>
            </w:r>
            <w:r/>
          </w:p>
        </w:tc>
      </w:tr>
      <w:tr>
        <w:trPr>
          <w:trHeight w:val="1658"/>
        </w:trPr>
        <w:tc>
          <w:tcPr>
            <w:tcW w:w="1396" w:type="dxa"/>
            <w:vAlign w:val="center"/>
            <w:textDirection w:val="lrTb"/>
            <w:noWrap w:val="false"/>
          </w:tcPr>
          <w:p>
            <w:pPr>
              <w:pStyle w:val="903"/>
              <w:rPr>
                <w:color w:val="000000"/>
              </w:rPr>
            </w:pPr>
            <w:r>
              <w:rPr>
                <w:color w:val="000000"/>
              </w:rPr>
              <w:t xml:space="preserve">应用性能监控</w:t>
            </w:r>
            <w:r/>
          </w:p>
        </w:tc>
        <w:tc>
          <w:tcPr>
            <w:tcW w:w="7767" w:type="dxa"/>
            <w:vAlign w:val="top"/>
            <w:textDirection w:val="lrTb"/>
            <w:noWrap w:val="false"/>
          </w:tcPr>
          <w:p>
            <w:pPr>
              <w:pStyle w:val="903"/>
              <w:rPr>
                <w:color w:val="000000"/>
              </w:rPr>
            </w:pPr>
            <w:r>
              <w:rPr>
                <w:color w:val="000000"/>
              </w:rPr>
              <w:t xml:space="preserve">支持监控设备自身CPU、内存、磁盘等工作运行状况；</w:t>
            </w:r>
            <w:r/>
          </w:p>
          <w:p>
            <w:pPr>
              <w:pStyle w:val="903"/>
              <w:rPr>
                <w:color w:val="000000"/>
              </w:rPr>
            </w:pPr>
            <w:r>
              <w:rPr>
                <w:color w:val="000000"/>
              </w:rPr>
              <w:t xml:space="preserve">通过在目标主机上安装Agent程序，支持监测目标主机的CPU利用率、内存使用率、磁盘使用率、磁盘使用情况、流量等信息；</w:t>
            </w:r>
            <w:r/>
          </w:p>
          <w:p>
            <w:pPr>
              <w:pStyle w:val="903"/>
              <w:rPr>
                <w:color w:val="000000"/>
              </w:rPr>
            </w:pPr>
            <w:r>
              <w:rPr>
                <w:color w:val="000000"/>
              </w:rPr>
              <w:t xml:space="preserve">支持监控Windows操作系统以下参数：CPU使用率、内存使用率、磁盘使用率、网络发送流量、网络接收流量、网络发送接收总流量、交换区使用率、磁盘总使用率、进程数、线程数；</w:t>
            </w:r>
            <w:r/>
          </w:p>
        </w:tc>
      </w:tr>
      <w:tr>
        <w:trPr/>
        <w:tc>
          <w:tcPr>
            <w:tcW w:w="1396" w:type="dxa"/>
            <w:vAlign w:val="center"/>
            <w:textDirection w:val="lrTb"/>
            <w:noWrap w:val="false"/>
          </w:tcPr>
          <w:p>
            <w:pPr>
              <w:pStyle w:val="903"/>
              <w:rPr>
                <w:color w:val="000000"/>
              </w:rPr>
            </w:pPr>
            <w:r>
              <w:rPr>
                <w:color w:val="000000"/>
              </w:rPr>
              <w:t xml:space="preserve">告警功能</w:t>
            </w:r>
            <w:r/>
          </w:p>
        </w:tc>
        <w:tc>
          <w:tcPr>
            <w:tcW w:w="7767" w:type="dxa"/>
            <w:vAlign w:val="top"/>
            <w:textDirection w:val="lrTb"/>
            <w:noWrap w:val="false"/>
          </w:tcPr>
          <w:p>
            <w:pPr>
              <w:pStyle w:val="903"/>
              <w:rPr>
                <w:color w:val="000000"/>
              </w:rPr>
            </w:pPr>
            <w:r>
              <w:rPr>
                <w:color w:val="000000"/>
              </w:rPr>
              <w:t xml:space="preserve">支持磁盘空间阈值告警，当磁盘使用率达到设定的阈值时可产生并外发告警；资产性能监控异常告警，对于监控的资产系统资源进行监测当指定指标使用率达到设定的阈值时可产生并外发告警；资产状态监控，当资产处于不活跃状态时可产生并外发告警；远程仓库状态监测可告警，当远程仓库可用性检测失败或备份包自动上传失败时可产生并外发告警</w:t>
            </w:r>
            <w:r/>
          </w:p>
        </w:tc>
      </w:tr>
      <w:tr>
        <w:trPr>
          <w:cantSplit/>
          <w:trHeight w:val="166"/>
        </w:trPr>
        <w:tc>
          <w:tcPr>
            <w:tcW w:w="1396" w:type="dxa"/>
            <w:vAlign w:val="center"/>
            <w:vMerge w:val="restart"/>
            <w:textDirection w:val="lrTb"/>
            <w:noWrap w:val="false"/>
          </w:tcPr>
          <w:p>
            <w:pPr>
              <w:pStyle w:val="903"/>
              <w:rPr>
                <w:color w:val="000000"/>
              </w:rPr>
            </w:pPr>
            <w:r>
              <w:rPr>
                <w:color w:val="000000"/>
              </w:rPr>
              <w:t xml:space="preserve">资质</w:t>
            </w:r>
            <w:r/>
          </w:p>
        </w:tc>
        <w:tc>
          <w:tcPr>
            <w:tcW w:w="7767" w:type="dxa"/>
            <w:vAlign w:val="top"/>
            <w:textDirection w:val="lrTb"/>
            <w:noWrap w:val="false"/>
          </w:tcPr>
          <w:p>
            <w:pPr>
              <w:pStyle w:val="903"/>
              <w:rPr>
                <w:color w:val="000000"/>
                <w:highlight w:val="yellow"/>
              </w:rPr>
            </w:pPr>
            <w:r>
              <w:rPr>
                <w:color w:val="000000"/>
              </w:rPr>
              <w:t xml:space="preserve">产品符合《信息安全技术 日志分析产品安全技术要求》（增强级）GA/T 911-2019》.。</w:t>
            </w:r>
            <w:r>
              <w:rPr>
                <w:color w:val="000000"/>
                <w:highlight w:val="yellow"/>
              </w:rPr>
            </w:r>
            <w:r/>
          </w:p>
        </w:tc>
      </w:tr>
      <w:tr>
        <w:trPr>
          <w:cantSplit/>
          <w:trHeight w:val="166"/>
        </w:trPr>
        <w:tc>
          <w:tcPr>
            <w:tcW w:w="1396" w:type="dxa"/>
            <w:vAlign w:val="center"/>
            <w:vMerge w:val="continue"/>
            <w:textDirection w:val="lrTb"/>
            <w:noWrap w:val="false"/>
          </w:tcPr>
          <w:p>
            <w:pPr>
              <w:pStyle w:val="903"/>
              <w:rPr>
                <w:color w:val="000000"/>
              </w:rPr>
            </w:pPr>
            <w:r>
              <w:rPr>
                <w:color w:val="000000"/>
              </w:rPr>
            </w:r>
            <w:r/>
          </w:p>
        </w:tc>
        <w:tc>
          <w:tcPr>
            <w:tcW w:w="7767" w:type="dxa"/>
            <w:vAlign w:val="top"/>
            <w:textDirection w:val="lrTb"/>
            <w:noWrap w:val="false"/>
          </w:tcPr>
          <w:p>
            <w:pPr>
              <w:pStyle w:val="903"/>
              <w:rPr>
                <w:color w:val="000000"/>
              </w:rPr>
            </w:pPr>
            <w:r>
              <w:rPr>
                <w:color w:val="000000"/>
              </w:rPr>
              <w:t xml:space="preserve">产品取得软件著作权登记证书</w:t>
            </w:r>
            <w:bookmarkStart w:id="212" w:name="OLE_LINK37"/>
            <w:r/>
            <w:bookmarkStart w:id="213" w:name="OLE_LINK38"/>
            <w:r>
              <w:rPr>
                <w:color w:val="000000"/>
              </w:rPr>
              <w:t xml:space="preserve">。（提供证书复印件）</w:t>
            </w:r>
            <w:bookmarkEnd w:id="212"/>
            <w:r/>
            <w:bookmarkEnd w:id="213"/>
            <w:r>
              <w:rPr>
                <w:color w:val="000000"/>
              </w:rPr>
            </w:r>
            <w:r/>
          </w:p>
        </w:tc>
      </w:tr>
      <w:tr>
        <w:trPr>
          <w:cantSplit/>
          <w:trHeight w:val="156"/>
        </w:trPr>
        <w:tc>
          <w:tcPr>
            <w:tcW w:w="1396" w:type="dxa"/>
            <w:vAlign w:val="center"/>
            <w:vMerge w:val="continue"/>
            <w:textDirection w:val="lrTb"/>
            <w:noWrap w:val="false"/>
          </w:tcPr>
          <w:p>
            <w:pPr>
              <w:pStyle w:val="903"/>
              <w:rPr>
                <w:color w:val="000000"/>
              </w:rPr>
            </w:pPr>
            <w:r>
              <w:rPr>
                <w:color w:val="000000"/>
              </w:rPr>
            </w:r>
            <w:r/>
          </w:p>
        </w:tc>
        <w:tc>
          <w:tcPr>
            <w:tcW w:w="7767" w:type="dxa"/>
            <w:vAlign w:val="top"/>
            <w:textDirection w:val="lrTb"/>
            <w:noWrap w:val="false"/>
          </w:tcPr>
          <w:p>
            <w:pPr>
              <w:pStyle w:val="903"/>
              <w:rPr>
                <w:color w:val="000000"/>
              </w:rPr>
            </w:pPr>
            <w:r>
              <w:rPr>
                <w:color w:val="000000"/>
              </w:rPr>
              <w:t xml:space="preserve">具备与多家芯片厂商及操作系统厂商的互认证证明。（提供证书复印件）</w:t>
            </w:r>
            <w:r/>
          </w:p>
        </w:tc>
      </w:tr>
      <w:tr>
        <w:trPr>
          <w:cantSplit/>
          <w:trHeight w:val="166"/>
        </w:trPr>
        <w:tc>
          <w:tcPr>
            <w:tcW w:w="1396" w:type="dxa"/>
            <w:vAlign w:val="center"/>
            <w:vMerge w:val="continue"/>
            <w:textDirection w:val="lrTb"/>
            <w:noWrap w:val="false"/>
          </w:tcPr>
          <w:p>
            <w:pPr>
              <w:pStyle w:val="903"/>
              <w:rPr>
                <w:color w:val="000000"/>
              </w:rPr>
            </w:pPr>
            <w:r>
              <w:rPr>
                <w:color w:val="000000"/>
              </w:rPr>
            </w:r>
            <w:r/>
          </w:p>
        </w:tc>
        <w:tc>
          <w:tcPr>
            <w:tcW w:w="7767" w:type="dxa"/>
            <w:vAlign w:val="top"/>
            <w:textDirection w:val="lrTb"/>
            <w:noWrap w:val="false"/>
          </w:tcPr>
          <w:p>
            <w:pPr>
              <w:pStyle w:val="903"/>
              <w:rPr>
                <w:color w:val="000000"/>
              </w:rPr>
            </w:pPr>
            <w:r>
              <w:rPr>
                <w:color w:val="000000"/>
              </w:rPr>
              <w:t xml:space="preserve">产品获得全球IPv6论坛IPv6 Ready Logo委员会颁发的《IPv6 Ready Logo认证》证书。（提供证书复印件）</w:t>
            </w:r>
            <w:r/>
          </w:p>
        </w:tc>
      </w:tr>
      <w:tr>
        <w:trPr>
          <w:trHeight w:val="437"/>
        </w:trPr>
        <w:tc>
          <w:tcPr>
            <w:tcW w:w="1396" w:type="dxa"/>
            <w:vAlign w:val="center"/>
            <w:textDirection w:val="lrTb"/>
            <w:noWrap w:val="false"/>
          </w:tcPr>
          <w:p>
            <w:pPr>
              <w:pStyle w:val="903"/>
              <w:rPr>
                <w:b/>
                <w:i/>
                <w:iCs/>
                <w:color w:val="000000"/>
                <w:u w:val="single"/>
                <w:lang w:eastAsia="en-US"/>
              </w:rPr>
            </w:pPr>
            <w:r>
              <w:rPr>
                <w:b/>
                <w:i/>
                <w:iCs/>
                <w:color w:val="000000"/>
                <w:u w:val="single"/>
                <w:lang w:eastAsia="en-US"/>
              </w:rPr>
              <w:t xml:space="preserve">服务要求</w:t>
            </w:r>
            <w:r/>
          </w:p>
        </w:tc>
        <w:tc>
          <w:tcPr>
            <w:tcW w:w="7767" w:type="dxa"/>
            <w:vAlign w:val="center"/>
            <w:textDirection w:val="lrTb"/>
            <w:noWrap w:val="false"/>
          </w:tcPr>
          <w:p>
            <w:pPr>
              <w:pStyle w:val="903"/>
              <w:rPr>
                <w:b/>
                <w:i/>
                <w:iCs/>
                <w:color w:val="000000"/>
                <w:u w:val="single"/>
                <w:lang w:eastAsia="en-US"/>
              </w:rPr>
            </w:pPr>
            <w:r>
              <w:rPr>
                <w:b/>
                <w:i/>
                <w:iCs/>
                <w:color w:val="000000"/>
                <w:u w:val="single"/>
                <w:lang w:eastAsia="en-US"/>
              </w:rPr>
              <w:t xml:space="preserve">提供</w:t>
            </w:r>
            <w:r>
              <w:rPr>
                <w:b/>
                <w:i/>
                <w:iCs/>
                <w:color w:val="000000"/>
                <w:u w:val="single"/>
              </w:rPr>
              <w:t xml:space="preserve">项目服务期内的</w:t>
            </w:r>
            <w:r>
              <w:rPr>
                <w:b/>
                <w:i/>
                <w:iCs/>
                <w:color w:val="000000"/>
                <w:u w:val="single"/>
                <w:lang w:eastAsia="en-US"/>
              </w:rPr>
              <w:t xml:space="preserve">硬件质保及软件升级服务</w:t>
            </w:r>
            <w:r/>
          </w:p>
        </w:tc>
      </w:tr>
    </w:tbl>
    <w:p>
      <w:pPr>
        <w:pStyle w:val="907"/>
        <w:numPr>
          <w:ilvl w:val="0"/>
          <w:numId w:val="7"/>
        </w:numPr>
        <w:spacing w:before="0" w:after="0" w:line="360" w:lineRule="auto"/>
        <w:rPr>
          <w:rFonts w:ascii="Times New Roman" w:hAnsi="Times New Roman"/>
          <w:color w:val="000000"/>
        </w:rPr>
      </w:pPr>
      <w:r>
        <w:rPr>
          <w:rFonts w:ascii="Times New Roman" w:hAnsi="Times New Roman"/>
          <w:color w:val="000000"/>
        </w:rPr>
        <w:t xml:space="preserve">市级广域网承载点出口路由器</w:t>
      </w:r>
      <w:r/>
    </w:p>
    <w:tbl>
      <w:tblPr>
        <w:tblW w:w="86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4"/>
        <w:gridCol w:w="6983"/>
      </w:tblGrid>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903"/>
              <w:rPr>
                <w:color w:val="000000"/>
              </w:rPr>
            </w:pPr>
            <w:r>
              <w:rPr>
                <w:color w:val="000000"/>
              </w:rPr>
              <w:t xml:space="preserve">技术指标</w:t>
            </w:r>
            <w:r/>
          </w:p>
        </w:tc>
        <w:tc>
          <w:tcPr>
            <w:shd w:val="clear" w:color="auto" w:fill="ffffff"/>
            <w:tcBorders>
              <w:top w:val="single" w:color="000000" w:sz="4" w:space="0"/>
              <w:left w:val="single" w:color="000000" w:sz="4" w:space="0"/>
              <w:bottom w:val="single" w:color="000000" w:sz="4" w:space="0"/>
              <w:right w:val="single" w:color="000000" w:sz="4" w:space="0"/>
            </w:tcBorders>
            <w:tcW w:w="6983" w:type="dxa"/>
            <w:vAlign w:val="center"/>
            <w:textDirection w:val="lrTb"/>
            <w:noWrap w:val="false"/>
          </w:tcPr>
          <w:p>
            <w:pPr>
              <w:pStyle w:val="903"/>
              <w:rPr>
                <w:color w:val="000000"/>
              </w:rPr>
            </w:pPr>
            <w:r>
              <w:rPr>
                <w:color w:val="000000"/>
              </w:rPr>
              <w:t xml:space="preserve">参数要求</w:t>
            </w:r>
            <w:r/>
          </w:p>
        </w:tc>
      </w:tr>
      <w:tr>
        <w:trPr>
          <w:trHeight w:val="580"/>
        </w:trPr>
        <w:tc>
          <w:tcPr>
            <w:tcW w:w="1664" w:type="dxa"/>
            <w:vAlign w:val="center"/>
            <w:textDirection w:val="lrTb"/>
            <w:noWrap w:val="false"/>
          </w:tcPr>
          <w:p>
            <w:pPr>
              <w:pStyle w:val="903"/>
              <w:widowControl/>
              <w:rPr>
                <w:color w:val="000000"/>
                <w:lang w:bidi="ar"/>
              </w:rPr>
            </w:pPr>
            <w:r>
              <w:rPr>
                <w:color w:val="000000"/>
                <w:lang w:bidi="ar"/>
              </w:rPr>
              <w:t xml:space="preserve">产品架构</w:t>
            </w:r>
            <w:r/>
          </w:p>
        </w:tc>
        <w:tc>
          <w:tcPr>
            <w:tcW w:w="6983" w:type="dxa"/>
            <w:vAlign w:val="center"/>
            <w:textDirection w:val="lrTb"/>
            <w:noWrap w:val="false"/>
          </w:tcPr>
          <w:p>
            <w:pPr>
              <w:pStyle w:val="903"/>
              <w:widowControl/>
              <w:rPr>
                <w:color w:val="000000"/>
                <w:lang w:bidi="ar"/>
              </w:rPr>
            </w:pPr>
            <w:r>
              <w:rPr>
                <w:color w:val="000000"/>
                <w:lang w:bidi="ar"/>
              </w:rPr>
              <w:t xml:space="preserve">支持主控板与业务板完全物理分离。</w:t>
            </w:r>
            <w:r/>
          </w:p>
          <w:p>
            <w:pPr>
              <w:pStyle w:val="903"/>
              <w:rPr>
                <w:color w:val="000000"/>
                <w:lang w:bidi="ar"/>
              </w:rPr>
            </w:pPr>
            <w:r>
              <w:rPr>
                <w:color w:val="000000"/>
                <w:lang w:bidi="ar"/>
              </w:rPr>
              <w:t xml:space="preserve">主控板≥2 个，满足1+1冗余。</w:t>
            </w:r>
            <w:r/>
          </w:p>
        </w:tc>
      </w:tr>
      <w:tr>
        <w:trPr>
          <w:cantSplit/>
          <w:trHeight w:val="580"/>
        </w:trPr>
        <w:tc>
          <w:tcPr>
            <w:tcW w:w="1664" w:type="dxa"/>
            <w:vAlign w:val="center"/>
            <w:vMerge w:val="restart"/>
            <w:textDirection w:val="lrTb"/>
            <w:noWrap w:val="false"/>
          </w:tcPr>
          <w:p>
            <w:pPr>
              <w:pStyle w:val="903"/>
              <w:widowControl/>
              <w:rPr>
                <w:color w:val="000000"/>
                <w:lang w:bidi="ar"/>
              </w:rPr>
            </w:pPr>
            <w:r>
              <w:rPr>
                <w:color w:val="000000"/>
                <w:lang w:bidi="ar"/>
              </w:rPr>
              <w:t xml:space="preserve">业务板要求</w:t>
            </w:r>
            <w:r/>
          </w:p>
        </w:tc>
        <w:tc>
          <w:tcPr>
            <w:tcW w:w="6983" w:type="dxa"/>
            <w:vAlign w:val="center"/>
            <w:textDirection w:val="lrTb"/>
            <w:noWrap w:val="false"/>
          </w:tcPr>
          <w:p>
            <w:pPr>
              <w:pStyle w:val="903"/>
              <w:widowControl/>
              <w:rPr>
                <w:color w:val="000000"/>
                <w:lang w:bidi="ar"/>
              </w:rPr>
            </w:pPr>
            <w:r>
              <w:rPr>
                <w:color w:val="000000"/>
                <w:lang w:bidi="ar"/>
              </w:rPr>
              <w:t xml:space="preserve">业务板卡支持子卡+母板形态，一个母卡支持最多支持4个子卡槽位</w:t>
            </w:r>
            <w:r/>
          </w:p>
          <w:p>
            <w:pPr>
              <w:pStyle w:val="903"/>
              <w:rPr>
                <w:color w:val="000000"/>
                <w:lang w:bidi="ar"/>
              </w:rPr>
            </w:pPr>
            <w:r>
              <w:rPr>
                <w:color w:val="000000"/>
                <w:lang w:bidi="ar"/>
              </w:rPr>
              <w:t xml:space="preserve">整机1U高全宽业务板槽位≥4个，业务板槽位数≥16个。</w:t>
            </w:r>
            <w:r/>
          </w:p>
        </w:tc>
      </w:tr>
      <w:tr>
        <w:trPr>
          <w:cantSplit/>
          <w:trHeight w:val="223"/>
        </w:trPr>
        <w:tc>
          <w:tcPr>
            <w:tcW w:w="1664" w:type="dxa"/>
            <w:vAlign w:val="center"/>
            <w:vMerge w:val="continue"/>
            <w:textDirection w:val="lrTb"/>
            <w:noWrap w:val="false"/>
          </w:tcPr>
          <w:p>
            <w:pPr>
              <w:pStyle w:val="903"/>
              <w:widowControl/>
              <w:rPr>
                <w:color w:val="000000"/>
                <w:lang w:bidi="ar"/>
              </w:rPr>
            </w:pPr>
            <w:r>
              <w:rPr>
                <w:color w:val="000000"/>
                <w:lang w:bidi="ar"/>
              </w:rPr>
            </w:r>
            <w:r/>
          </w:p>
        </w:tc>
        <w:tc>
          <w:tcPr>
            <w:tcW w:w="6983" w:type="dxa"/>
            <w:vAlign w:val="center"/>
            <w:textDirection w:val="lrTb"/>
            <w:noWrap w:val="false"/>
          </w:tcPr>
          <w:p>
            <w:pPr>
              <w:pStyle w:val="903"/>
              <w:widowControl/>
              <w:rPr>
                <w:color w:val="000000"/>
                <w:lang w:bidi="ar"/>
              </w:rPr>
            </w:pPr>
            <w:r>
              <w:rPr>
                <w:rFonts w:hint="eastAsia" w:ascii="宋体" w:hAnsi="宋体" w:cs="宋体"/>
                <w:color w:val="000000"/>
              </w:rPr>
              <w:t xml:space="preserve">★</w:t>
            </w:r>
            <w:r>
              <w:rPr>
                <w:color w:val="000000"/>
              </w:rPr>
              <w:t xml:space="preserve">满配交换网板</w:t>
            </w:r>
            <w:r>
              <w:rPr>
                <w:color w:val="000000"/>
                <w:lang w:bidi="ar"/>
              </w:rPr>
            </w:r>
            <w:r/>
          </w:p>
        </w:tc>
      </w:tr>
      <w:tr>
        <w:trPr>
          <w:trHeight w:val="285"/>
        </w:trPr>
        <w:tc>
          <w:tcPr>
            <w:tcW w:w="1664" w:type="dxa"/>
            <w:vAlign w:val="center"/>
            <w:textDirection w:val="lrTb"/>
            <w:noWrap w:val="false"/>
          </w:tcPr>
          <w:p>
            <w:pPr>
              <w:pStyle w:val="903"/>
              <w:widowControl/>
              <w:rPr>
                <w:b/>
                <w:i/>
                <w:iCs/>
                <w:color w:val="000000"/>
                <w:u w:val="single"/>
                <w:lang w:bidi="ar"/>
              </w:rPr>
            </w:pPr>
            <w:r>
              <w:rPr>
                <w:b/>
                <w:i/>
                <w:iCs/>
                <w:color w:val="000000"/>
                <w:u w:val="single"/>
                <w:lang w:bidi="ar"/>
              </w:rPr>
              <w:t xml:space="preserve">交换容量</w:t>
            </w:r>
            <w:r/>
          </w:p>
        </w:tc>
        <w:tc>
          <w:tcPr>
            <w:tcW w:w="6983" w:type="dxa"/>
            <w:vAlign w:val="center"/>
            <w:textDirection w:val="lrTb"/>
            <w:noWrap w:val="false"/>
          </w:tcPr>
          <w:p>
            <w:pPr>
              <w:pStyle w:val="903"/>
              <w:widowControl/>
              <w:rPr>
                <w:b/>
                <w:i/>
                <w:iCs/>
                <w:color w:val="000000"/>
                <w:u w:val="single"/>
                <w:lang w:bidi="ar"/>
              </w:rPr>
            </w:pPr>
            <w:r>
              <w:rPr>
                <w:b/>
                <w:i/>
                <w:iCs/>
                <w:color w:val="000000"/>
                <w:u w:val="single"/>
                <w:lang w:bidi="ar"/>
              </w:rPr>
              <w:t xml:space="preserve">整机交换容量≥120Tbps。</w:t>
            </w:r>
            <w:r/>
          </w:p>
        </w:tc>
      </w:tr>
      <w:tr>
        <w:trPr>
          <w:trHeight w:val="285"/>
        </w:trPr>
        <w:tc>
          <w:tcPr>
            <w:tcW w:w="1664" w:type="dxa"/>
            <w:vAlign w:val="center"/>
            <w:textDirection w:val="lrTb"/>
            <w:noWrap w:val="false"/>
          </w:tcPr>
          <w:p>
            <w:pPr>
              <w:pStyle w:val="903"/>
              <w:widowControl/>
              <w:rPr>
                <w:b/>
                <w:i/>
                <w:iCs/>
                <w:color w:val="000000"/>
                <w:u w:val="single"/>
                <w:lang w:bidi="ar"/>
              </w:rPr>
            </w:pPr>
            <w:r>
              <w:rPr>
                <w:b/>
                <w:i/>
                <w:iCs/>
                <w:color w:val="000000"/>
                <w:u w:val="single"/>
                <w:lang w:bidi="ar"/>
              </w:rPr>
              <w:t xml:space="preserve">包转发能力</w:t>
            </w:r>
            <w:r/>
          </w:p>
        </w:tc>
        <w:tc>
          <w:tcPr>
            <w:tcW w:w="6983" w:type="dxa"/>
            <w:vAlign w:val="center"/>
            <w:textDirection w:val="lrTb"/>
            <w:noWrap w:val="false"/>
          </w:tcPr>
          <w:p>
            <w:pPr>
              <w:pStyle w:val="903"/>
              <w:widowControl/>
              <w:rPr>
                <w:b/>
                <w:i/>
                <w:iCs/>
                <w:color w:val="000000"/>
                <w:u w:val="single"/>
                <w:lang w:bidi="ar"/>
              </w:rPr>
            </w:pPr>
            <w:r>
              <w:rPr>
                <w:b/>
                <w:i/>
                <w:iCs/>
                <w:color w:val="000000"/>
                <w:u w:val="single"/>
                <w:lang w:bidi="ar"/>
              </w:rPr>
              <w:t xml:space="preserve">整机包转发能力≥12000Mpps。</w:t>
            </w:r>
            <w:r/>
          </w:p>
        </w:tc>
      </w:tr>
      <w:tr>
        <w:trPr>
          <w:trHeight w:val="285"/>
        </w:trPr>
        <w:tc>
          <w:tcPr>
            <w:tcW w:w="1664" w:type="dxa"/>
            <w:vAlign w:val="center"/>
            <w:textDirection w:val="lrTb"/>
            <w:noWrap w:val="false"/>
          </w:tcPr>
          <w:p>
            <w:pPr>
              <w:pStyle w:val="903"/>
              <w:widowControl/>
              <w:rPr>
                <w:color w:val="000000"/>
                <w:lang w:bidi="ar"/>
              </w:rPr>
            </w:pPr>
            <w:r>
              <w:rPr>
                <w:color w:val="000000"/>
                <w:lang w:bidi="ar"/>
              </w:rPr>
              <w:t xml:space="preserve">端口扩展性需求</w:t>
            </w:r>
            <w:r/>
          </w:p>
        </w:tc>
        <w:tc>
          <w:tcPr>
            <w:tcW w:w="6983" w:type="dxa"/>
            <w:vAlign w:val="center"/>
            <w:textDirection w:val="lrTb"/>
            <w:noWrap w:val="false"/>
          </w:tcPr>
          <w:p>
            <w:pPr>
              <w:pStyle w:val="903"/>
              <w:rPr>
                <w:color w:val="000000"/>
                <w:lang w:bidi="ar"/>
              </w:rPr>
            </w:pPr>
            <w:r>
              <w:rPr>
                <w:color w:val="000000"/>
                <w:lang w:bidi="ar"/>
              </w:rPr>
              <w:t xml:space="preserve">支持FE、GE、10GE（LAN/WAN）、155M POS/CPOS、622M POS等接口，（提供官网截图证明）</w:t>
            </w:r>
            <w:r/>
          </w:p>
        </w:tc>
      </w:tr>
      <w:tr>
        <w:trPr>
          <w:cantSplit/>
          <w:trHeight w:val="1112"/>
        </w:trPr>
        <w:tc>
          <w:tcPr>
            <w:tcW w:w="1664" w:type="dxa"/>
            <w:vAlign w:val="center"/>
            <w:vMerge w:val="restart"/>
            <w:textDirection w:val="lrTb"/>
            <w:noWrap w:val="false"/>
          </w:tcPr>
          <w:p>
            <w:pPr>
              <w:pStyle w:val="903"/>
              <w:widowControl/>
              <w:rPr>
                <w:color w:val="000000"/>
                <w:lang w:bidi="ar"/>
              </w:rPr>
            </w:pPr>
            <w:r>
              <w:rPr>
                <w:color w:val="000000"/>
                <w:lang w:bidi="ar"/>
              </w:rPr>
              <w:t xml:space="preserve">可靠性要求</w:t>
            </w:r>
            <w:r/>
          </w:p>
        </w:tc>
        <w:tc>
          <w:tcPr>
            <w:tcW w:w="6983" w:type="dxa"/>
            <w:vAlign w:val="center"/>
            <w:textDirection w:val="lrTb"/>
            <w:noWrap w:val="false"/>
          </w:tcPr>
          <w:p>
            <w:pPr>
              <w:pStyle w:val="903"/>
              <w:rPr>
                <w:color w:val="000000"/>
                <w:lang w:bidi="ar"/>
              </w:rPr>
            </w:pPr>
            <w:r>
              <w:rPr>
                <w:color w:val="000000"/>
                <w:lang w:bidi="ar"/>
              </w:rPr>
              <w:t xml:space="preserve">支持电源模块、风扇、主控模块冗余备份。</w:t>
            </w:r>
            <w:r/>
          </w:p>
          <w:p>
            <w:pPr>
              <w:pStyle w:val="903"/>
              <w:rPr>
                <w:color w:val="000000"/>
                <w:lang w:bidi="ar"/>
              </w:rPr>
            </w:pPr>
            <w:r>
              <w:rPr>
                <w:color w:val="000000"/>
                <w:lang w:bidi="ar"/>
              </w:rPr>
              <w:t xml:space="preserve">所有单板和模块均支持热拔插。</w:t>
            </w:r>
            <w:r/>
          </w:p>
          <w:p>
            <w:pPr>
              <w:pStyle w:val="903"/>
              <w:rPr>
                <w:color w:val="000000"/>
                <w:lang w:bidi="ar"/>
              </w:rPr>
            </w:pPr>
            <w:r>
              <w:rPr>
                <w:color w:val="000000"/>
                <w:lang w:bidi="ar"/>
              </w:rPr>
              <w:t xml:space="preserve">支持IP TRUNK、MP、ETH端口聚合；支持FRR（Fast Reroute，快速重路由）。</w:t>
            </w:r>
            <w:r/>
          </w:p>
          <w:p>
            <w:pPr>
              <w:pStyle w:val="903"/>
              <w:rPr>
                <w:color w:val="000000"/>
                <w:lang w:bidi="ar"/>
              </w:rPr>
            </w:pPr>
            <w:r>
              <w:rPr>
                <w:color w:val="000000"/>
                <w:lang w:bidi="ar"/>
              </w:rPr>
              <w:t xml:space="preserve">为减小设备或线路故障对业务的影响、提高网络的可用性，需支持BFD for BGP/IS-IS/OSPF/LDP/VRRP/Static Route/RIPng/OSPFV3/BGP4+/ISISv6，BFD与RSVP联动实现TE隧道切换、BFD与三层聚合组合实现快速切换</w:t>
            </w:r>
            <w:r/>
          </w:p>
        </w:tc>
      </w:tr>
      <w:tr>
        <w:trPr>
          <w:cantSplit/>
          <w:trHeight w:val="319"/>
        </w:trPr>
        <w:tc>
          <w:tcPr>
            <w:tcW w:w="1664" w:type="dxa"/>
            <w:vAlign w:val="center"/>
            <w:vMerge w:val="continue"/>
            <w:textDirection w:val="lrTb"/>
            <w:noWrap w:val="false"/>
          </w:tcPr>
          <w:p>
            <w:pPr>
              <w:pStyle w:val="903"/>
              <w:widowControl/>
              <w:rPr>
                <w:color w:val="000000"/>
                <w:lang w:bidi="ar"/>
              </w:rPr>
            </w:pPr>
            <w:r>
              <w:rPr>
                <w:color w:val="000000"/>
                <w:lang w:bidi="ar"/>
              </w:rPr>
            </w:r>
            <w:r/>
          </w:p>
        </w:tc>
        <w:tc>
          <w:tcPr>
            <w:tcW w:w="6983" w:type="dxa"/>
            <w:vAlign w:val="center"/>
            <w:textDirection w:val="lrTb"/>
            <w:noWrap w:val="false"/>
          </w:tcPr>
          <w:p>
            <w:pPr>
              <w:pStyle w:val="903"/>
              <w:rPr>
                <w:color w:val="000000"/>
                <w:lang w:bidi="ar"/>
              </w:rPr>
            </w:pPr>
            <w:r>
              <w:rPr>
                <w:color w:val="000000"/>
                <w:lang w:bidi="ar"/>
              </w:rPr>
              <w:t xml:space="preserve">为检测设备之间的双向时延、抖动、丢包进行统计等信息，设备需支持Y.1731检测网络质量（提供具有CNAS或CMA标识的检测报告复印件）</w:t>
            </w:r>
            <w:r/>
          </w:p>
        </w:tc>
      </w:tr>
      <w:tr>
        <w:trPr>
          <w:cantSplit/>
          <w:trHeight w:val="1158"/>
        </w:trPr>
        <w:tc>
          <w:tcPr>
            <w:tcW w:w="1664" w:type="dxa"/>
            <w:vAlign w:val="center"/>
            <w:textDirection w:val="lrTb"/>
            <w:noWrap w:val="false"/>
          </w:tcPr>
          <w:p>
            <w:pPr>
              <w:pStyle w:val="903"/>
              <w:widowControl/>
              <w:rPr>
                <w:color w:val="000000"/>
                <w:lang w:bidi="ar"/>
              </w:rPr>
            </w:pPr>
            <w:r>
              <w:rPr>
                <w:color w:val="000000"/>
                <w:lang w:bidi="ar"/>
              </w:rPr>
              <w:t xml:space="preserve">安全性要求</w:t>
            </w:r>
            <w:r/>
          </w:p>
        </w:tc>
        <w:tc>
          <w:tcPr>
            <w:tcW w:w="6983" w:type="dxa"/>
            <w:vAlign w:val="center"/>
            <w:textDirection w:val="lrTb"/>
            <w:noWrap w:val="false"/>
          </w:tcPr>
          <w:p>
            <w:pPr>
              <w:pStyle w:val="903"/>
              <w:widowControl/>
              <w:rPr>
                <w:color w:val="000000"/>
                <w:lang w:bidi="ar"/>
              </w:rPr>
            </w:pPr>
            <w:r>
              <w:rPr>
                <w:color w:val="000000"/>
                <w:lang w:bidi="ar"/>
              </w:rPr>
              <w:t xml:space="preserve">支持用户分级管理和口令保护。</w:t>
            </w:r>
            <w:r/>
          </w:p>
          <w:p>
            <w:pPr>
              <w:pStyle w:val="903"/>
              <w:widowControl/>
              <w:rPr>
                <w:color w:val="000000"/>
                <w:lang w:bidi="ar"/>
              </w:rPr>
            </w:pPr>
            <w:r>
              <w:rPr>
                <w:color w:val="000000"/>
                <w:lang w:bidi="ar"/>
              </w:rPr>
              <w:t xml:space="preserve">支持SSHv2。</w:t>
            </w:r>
            <w:r/>
          </w:p>
          <w:p>
            <w:pPr>
              <w:pStyle w:val="903"/>
              <w:widowControl/>
              <w:rPr>
                <w:color w:val="000000"/>
                <w:lang w:bidi="ar"/>
              </w:rPr>
            </w:pPr>
            <w:r>
              <w:rPr>
                <w:color w:val="000000"/>
                <w:lang w:bidi="ar"/>
              </w:rPr>
              <w:t xml:space="preserve">支持AAA安全认证协议。</w:t>
            </w:r>
            <w:r/>
          </w:p>
          <w:p>
            <w:pPr>
              <w:pStyle w:val="903"/>
              <w:rPr>
                <w:color w:val="000000"/>
                <w:lang w:bidi="ar"/>
              </w:rPr>
            </w:pPr>
            <w:r>
              <w:rPr>
                <w:color w:val="000000"/>
                <w:lang w:bidi="ar"/>
              </w:rPr>
              <w:t xml:space="preserve">支持ACL报文过滤。</w:t>
            </w:r>
            <w:r/>
          </w:p>
        </w:tc>
      </w:tr>
      <w:tr>
        <w:trPr>
          <w:cantSplit/>
          <w:trHeight w:val="1407"/>
        </w:trPr>
        <w:tc>
          <w:tcPr>
            <w:tcW w:w="1664" w:type="dxa"/>
            <w:vAlign w:val="center"/>
            <w:textDirection w:val="lrTb"/>
            <w:noWrap w:val="false"/>
          </w:tcPr>
          <w:p>
            <w:pPr>
              <w:pStyle w:val="903"/>
              <w:widowControl/>
              <w:rPr>
                <w:color w:val="000000"/>
                <w:lang w:bidi="ar"/>
              </w:rPr>
            </w:pPr>
            <w:r>
              <w:rPr>
                <w:color w:val="000000"/>
                <w:lang w:bidi="ar"/>
              </w:rPr>
              <w:t xml:space="preserve">配置管理及维护要求</w:t>
            </w:r>
            <w:r/>
          </w:p>
        </w:tc>
        <w:tc>
          <w:tcPr>
            <w:tcW w:w="6983" w:type="dxa"/>
            <w:vAlign w:val="center"/>
            <w:textDirection w:val="lrTb"/>
            <w:noWrap w:val="false"/>
          </w:tcPr>
          <w:p>
            <w:pPr>
              <w:pStyle w:val="903"/>
              <w:widowControl/>
              <w:rPr>
                <w:color w:val="000000"/>
                <w:lang w:bidi="ar"/>
              </w:rPr>
            </w:pPr>
            <w:r>
              <w:rPr>
                <w:color w:val="000000"/>
                <w:lang w:bidi="ar"/>
              </w:rPr>
              <w:t xml:space="preserve">支持NTP时钟。</w:t>
            </w:r>
            <w:r/>
          </w:p>
          <w:p>
            <w:pPr>
              <w:pStyle w:val="903"/>
              <w:widowControl/>
              <w:rPr>
                <w:color w:val="000000"/>
                <w:lang w:bidi="ar"/>
              </w:rPr>
            </w:pPr>
            <w:r>
              <w:rPr>
                <w:color w:val="000000"/>
                <w:lang w:bidi="ar"/>
              </w:rPr>
              <w:t xml:space="preserve">支持SNMP V1/V2/V3。</w:t>
            </w:r>
            <w:r/>
          </w:p>
          <w:p>
            <w:pPr>
              <w:pStyle w:val="903"/>
              <w:widowControl/>
              <w:rPr>
                <w:color w:val="000000"/>
                <w:lang w:bidi="ar"/>
              </w:rPr>
            </w:pPr>
            <w:r>
              <w:rPr>
                <w:color w:val="000000"/>
                <w:lang w:bidi="ar"/>
              </w:rPr>
              <w:t xml:space="preserve">支持Netstream功能,本次要求实际配置具备Netstream功能的硬件板卡或功能license</w:t>
            </w:r>
            <w:r/>
          </w:p>
          <w:p>
            <w:pPr>
              <w:pStyle w:val="903"/>
              <w:rPr>
                <w:color w:val="000000"/>
                <w:lang w:bidi="ar"/>
              </w:rPr>
            </w:pPr>
            <w:r>
              <w:rPr>
                <w:color w:val="000000"/>
                <w:lang w:bidi="ar"/>
              </w:rPr>
              <w:t xml:space="preserve">支持多日志主机功能。</w:t>
            </w:r>
            <w:r/>
          </w:p>
        </w:tc>
      </w:tr>
      <w:tr>
        <w:trPr>
          <w:cantSplit/>
          <w:trHeight w:val="1726"/>
        </w:trPr>
        <w:tc>
          <w:tcPr>
            <w:tcW w:w="1664" w:type="dxa"/>
            <w:vAlign w:val="center"/>
            <w:textDirection w:val="lrTb"/>
            <w:noWrap w:val="false"/>
          </w:tcPr>
          <w:p>
            <w:pPr>
              <w:pStyle w:val="903"/>
              <w:widowControl/>
              <w:rPr>
                <w:color w:val="000000"/>
                <w:lang w:bidi="ar"/>
              </w:rPr>
            </w:pPr>
            <w:r>
              <w:rPr>
                <w:color w:val="000000"/>
                <w:lang w:bidi="ar"/>
              </w:rPr>
              <w:t xml:space="preserve">路由协议</w:t>
            </w:r>
            <w:r/>
          </w:p>
        </w:tc>
        <w:tc>
          <w:tcPr>
            <w:tcW w:w="6983" w:type="dxa"/>
            <w:vAlign w:val="center"/>
            <w:textDirection w:val="lrTb"/>
            <w:noWrap w:val="false"/>
          </w:tcPr>
          <w:p>
            <w:pPr>
              <w:pStyle w:val="903"/>
              <w:widowControl/>
              <w:rPr>
                <w:color w:val="000000"/>
                <w:lang w:bidi="ar"/>
              </w:rPr>
            </w:pPr>
            <w:r>
              <w:rPr>
                <w:color w:val="000000"/>
                <w:lang w:bidi="ar"/>
              </w:rPr>
              <w:t xml:space="preserve">支持静态路由、RIP、OSPF、OSPFv3、IS-IS、 IS-ISv6、BGP-4、BGP4+等路由协议。</w:t>
            </w:r>
            <w:r/>
          </w:p>
          <w:p>
            <w:pPr>
              <w:pStyle w:val="903"/>
              <w:widowControl/>
              <w:rPr>
                <w:color w:val="000000"/>
                <w:lang w:bidi="ar"/>
              </w:rPr>
            </w:pPr>
            <w:r>
              <w:rPr>
                <w:color w:val="000000"/>
                <w:lang w:bidi="ar"/>
              </w:rPr>
              <w:t xml:space="preserve">支持VRRP、VRRPv3。</w:t>
            </w:r>
            <w:r/>
          </w:p>
          <w:p>
            <w:pPr>
              <w:pStyle w:val="903"/>
              <w:widowControl/>
              <w:rPr>
                <w:color w:val="000000"/>
                <w:lang w:bidi="ar"/>
              </w:rPr>
            </w:pPr>
            <w:r>
              <w:rPr>
                <w:color w:val="000000"/>
                <w:lang w:bidi="ar"/>
              </w:rPr>
              <w:t xml:space="preserve">支持PIM-SM、PIM-SSM、MSDP、MBGP、Anycast-RP等路由协议。</w:t>
            </w:r>
            <w:r/>
          </w:p>
          <w:p>
            <w:pPr>
              <w:pStyle w:val="903"/>
              <w:widowControl/>
              <w:rPr>
                <w:color w:val="000000"/>
                <w:lang w:bidi="ar"/>
              </w:rPr>
            </w:pPr>
            <w:r>
              <w:rPr>
                <w:color w:val="000000"/>
                <w:lang w:bidi="ar"/>
              </w:rPr>
              <w:t xml:space="preserve">支持IGMP V1/V2/V3、IGMP Snooping v1/2/3。</w:t>
            </w:r>
            <w:r/>
          </w:p>
          <w:p>
            <w:pPr>
              <w:pStyle w:val="903"/>
              <w:rPr>
                <w:color w:val="000000"/>
                <w:lang w:bidi="ar"/>
              </w:rPr>
            </w:pPr>
            <w:r>
              <w:rPr>
                <w:color w:val="000000"/>
                <w:lang w:bidi="ar"/>
              </w:rPr>
              <w:t xml:space="preserve">支持二层MPLS VPN功能。</w:t>
            </w:r>
            <w:r/>
          </w:p>
        </w:tc>
      </w:tr>
      <w:tr>
        <w:trPr>
          <w:cantSplit/>
          <w:trHeight w:val="1726"/>
        </w:trPr>
        <w:tc>
          <w:tcPr>
            <w:tcW w:w="1664" w:type="dxa"/>
            <w:vAlign w:val="center"/>
            <w:textDirection w:val="lrTb"/>
            <w:noWrap w:val="false"/>
          </w:tcPr>
          <w:p>
            <w:pPr>
              <w:pStyle w:val="903"/>
              <w:widowControl/>
              <w:rPr>
                <w:color w:val="000000"/>
                <w:lang w:bidi="ar"/>
              </w:rPr>
            </w:pPr>
            <w:r>
              <w:rPr>
                <w:color w:val="000000"/>
                <w:lang w:bidi="ar"/>
              </w:rPr>
              <w:t xml:space="preserve">QOS</w:t>
            </w:r>
            <w:r/>
          </w:p>
        </w:tc>
        <w:tc>
          <w:tcPr>
            <w:tcW w:w="6983" w:type="dxa"/>
            <w:vAlign w:val="center"/>
            <w:textDirection w:val="lrTb"/>
            <w:noWrap w:val="false"/>
          </w:tcPr>
          <w:p>
            <w:pPr>
              <w:pStyle w:val="903"/>
              <w:widowControl/>
              <w:rPr>
                <w:color w:val="000000"/>
                <w:lang w:bidi="ar"/>
              </w:rPr>
            </w:pPr>
            <w:r>
              <w:rPr>
                <w:color w:val="000000"/>
                <w:lang w:bidi="ar"/>
              </w:rPr>
              <w:t xml:space="preserve">设备支持H-QOS功能，且支持五级队列调度</w:t>
            </w:r>
            <w:r/>
          </w:p>
          <w:p>
            <w:pPr>
              <w:pStyle w:val="903"/>
              <w:widowControl/>
              <w:rPr>
                <w:color w:val="000000"/>
                <w:lang w:bidi="ar"/>
              </w:rPr>
            </w:pPr>
            <w:r>
              <w:rPr>
                <w:color w:val="000000"/>
                <w:lang w:bidi="ar"/>
              </w:rPr>
              <w:t xml:space="preserve">设备支持分层CAR功能，实现不同业务分别限速后对总带宽限速，且能实现不同业务对空闲带宽的抢占</w:t>
            </w:r>
            <w:r/>
          </w:p>
          <w:p>
            <w:pPr>
              <w:pStyle w:val="903"/>
              <w:widowControl/>
              <w:rPr>
                <w:color w:val="000000"/>
                <w:lang w:bidi="ar"/>
              </w:rPr>
            </w:pPr>
            <w:r>
              <w:rPr>
                <w:color w:val="000000"/>
                <w:lang w:bidi="ar"/>
              </w:rPr>
              <w:t xml:space="preserve">支持流量整形SHAPPING。</w:t>
            </w:r>
            <w:r/>
          </w:p>
          <w:p>
            <w:pPr>
              <w:pStyle w:val="903"/>
              <w:widowControl/>
              <w:rPr>
                <w:color w:val="000000"/>
                <w:lang w:bidi="ar"/>
              </w:rPr>
            </w:pPr>
            <w:r>
              <w:rPr>
                <w:color w:val="000000"/>
                <w:lang w:bidi="ar"/>
              </w:rPr>
              <w:t xml:space="preserve">支持WRED拥塞避免。</w:t>
            </w:r>
            <w:r/>
          </w:p>
          <w:p>
            <w:pPr>
              <w:pStyle w:val="903"/>
              <w:rPr>
                <w:color w:val="000000"/>
                <w:lang w:bidi="ar"/>
              </w:rPr>
            </w:pPr>
            <w:r>
              <w:rPr>
                <w:color w:val="000000"/>
                <w:lang w:bidi="ar"/>
              </w:rPr>
              <w:t xml:space="preserve">支持PQ/WFQ/CBWFQ等队列调度机制。</w:t>
            </w:r>
            <w:r/>
          </w:p>
        </w:tc>
      </w:tr>
      <w:tr>
        <w:trPr>
          <w:cantSplit/>
          <w:trHeight w:val="285"/>
        </w:trPr>
        <w:tc>
          <w:tcPr>
            <w:tcW w:w="1664" w:type="dxa"/>
            <w:vAlign w:val="center"/>
            <w:vMerge w:val="restart"/>
            <w:textDirection w:val="lrTb"/>
            <w:noWrap w:val="false"/>
          </w:tcPr>
          <w:p>
            <w:pPr>
              <w:pStyle w:val="903"/>
              <w:widowControl/>
              <w:rPr>
                <w:b/>
                <w:i/>
                <w:iCs/>
                <w:color w:val="000000"/>
                <w:u w:val="single"/>
                <w:lang w:bidi="ar"/>
              </w:rPr>
            </w:pPr>
            <w:r>
              <w:rPr>
                <w:b/>
                <w:i/>
                <w:iCs/>
                <w:color w:val="000000"/>
                <w:u w:val="single"/>
                <w:lang w:bidi="ar"/>
              </w:rPr>
              <w:t xml:space="preserve">配置要求</w:t>
            </w:r>
            <w:r/>
          </w:p>
        </w:tc>
        <w:tc>
          <w:tcPr>
            <w:tcW w:w="6983" w:type="dxa"/>
            <w:vAlign w:val="center"/>
            <w:textDirection w:val="lrTb"/>
            <w:noWrap w:val="false"/>
          </w:tcPr>
          <w:p>
            <w:pPr>
              <w:pStyle w:val="903"/>
              <w:widowControl/>
              <w:rPr>
                <w:b/>
                <w:i/>
                <w:iCs/>
                <w:color w:val="000000"/>
                <w:u w:val="single"/>
                <w:lang w:bidi="ar"/>
              </w:rPr>
            </w:pPr>
            <w:r>
              <w:rPr>
                <w:b/>
                <w:i/>
                <w:iCs/>
                <w:color w:val="000000"/>
                <w:u w:val="single"/>
                <w:lang w:bidi="ar"/>
              </w:rPr>
              <w:t xml:space="preserve">配备主控板≥2个</w:t>
            </w:r>
            <w:r/>
          </w:p>
        </w:tc>
      </w:tr>
      <w:tr>
        <w:trPr>
          <w:cantSplit/>
          <w:trHeight w:val="285"/>
        </w:trPr>
        <w:tc>
          <w:tcPr>
            <w:tcW w:w="1664" w:type="dxa"/>
            <w:vAlign w:val="center"/>
            <w:vMerge w:val="continue"/>
            <w:textDirection w:val="lrTb"/>
            <w:noWrap w:val="false"/>
          </w:tcPr>
          <w:p>
            <w:pPr>
              <w:pStyle w:val="903"/>
              <w:widowControl/>
              <w:rPr>
                <w:b/>
                <w:i/>
                <w:iCs/>
                <w:color w:val="000000"/>
                <w:u w:val="single"/>
                <w:lang w:bidi="ar"/>
              </w:rPr>
            </w:pPr>
            <w:r>
              <w:rPr>
                <w:b/>
                <w:i/>
                <w:iCs/>
                <w:color w:val="000000"/>
                <w:u w:val="single"/>
                <w:lang w:bidi="ar"/>
              </w:rPr>
            </w:r>
            <w:r/>
          </w:p>
        </w:tc>
        <w:tc>
          <w:tcPr>
            <w:tcW w:w="6983" w:type="dxa"/>
            <w:vAlign w:val="center"/>
            <w:textDirection w:val="lrTb"/>
            <w:noWrap w:val="false"/>
          </w:tcPr>
          <w:p>
            <w:pPr>
              <w:pStyle w:val="903"/>
              <w:widowControl/>
              <w:rPr>
                <w:b/>
                <w:i/>
                <w:iCs/>
                <w:color w:val="000000"/>
                <w:u w:val="single"/>
                <w:lang w:bidi="ar"/>
              </w:rPr>
            </w:pPr>
            <w:r>
              <w:rPr>
                <w:b/>
                <w:i/>
                <w:iCs/>
                <w:color w:val="000000"/>
                <w:u w:val="single"/>
                <w:lang w:bidi="ar"/>
              </w:rPr>
              <w:t xml:space="preserve">配备冗余 220V 交流电源≥2个。</w:t>
            </w:r>
            <w:r/>
          </w:p>
        </w:tc>
      </w:tr>
      <w:tr>
        <w:trPr>
          <w:cantSplit/>
          <w:trHeight w:val="285"/>
        </w:trPr>
        <w:tc>
          <w:tcPr>
            <w:tcW w:w="1664" w:type="dxa"/>
            <w:vAlign w:val="center"/>
            <w:vMerge w:val="continue"/>
            <w:textDirection w:val="lrTb"/>
            <w:noWrap w:val="false"/>
          </w:tcPr>
          <w:p>
            <w:pPr>
              <w:pStyle w:val="903"/>
              <w:widowControl/>
              <w:rPr>
                <w:b/>
                <w:i/>
                <w:iCs/>
                <w:color w:val="000000"/>
                <w:u w:val="single"/>
                <w:lang w:bidi="ar"/>
              </w:rPr>
            </w:pPr>
            <w:r>
              <w:rPr>
                <w:b/>
                <w:i/>
                <w:iCs/>
                <w:color w:val="000000"/>
                <w:u w:val="single"/>
                <w:lang w:bidi="ar"/>
              </w:rPr>
            </w:r>
            <w:r/>
          </w:p>
        </w:tc>
        <w:tc>
          <w:tcPr>
            <w:tcW w:w="6983" w:type="dxa"/>
            <w:vAlign w:val="center"/>
            <w:textDirection w:val="lrTb"/>
            <w:noWrap w:val="false"/>
          </w:tcPr>
          <w:p>
            <w:pPr>
              <w:pStyle w:val="903"/>
              <w:widowControl/>
              <w:rPr>
                <w:b/>
                <w:i/>
                <w:iCs/>
                <w:color w:val="000000"/>
                <w:u w:val="single"/>
                <w:lang w:bidi="ar"/>
              </w:rPr>
            </w:pPr>
            <w:r>
              <w:rPr>
                <w:b/>
                <w:i/>
                <w:iCs/>
                <w:color w:val="000000"/>
                <w:u w:val="single"/>
                <w:lang w:bidi="ar"/>
              </w:rPr>
              <w:t xml:space="preserve">2个万兆光口，14个千兆光口,8个千兆电口。</w:t>
            </w:r>
            <w:r/>
          </w:p>
        </w:tc>
      </w:tr>
      <w:tr>
        <w:trPr>
          <w:cantSplit/>
          <w:trHeight w:val="285"/>
        </w:trPr>
        <w:tc>
          <w:tcPr>
            <w:tcW w:w="1664" w:type="dxa"/>
            <w:vAlign w:val="center"/>
            <w:textDirection w:val="lrTb"/>
            <w:noWrap w:val="false"/>
          </w:tcPr>
          <w:p>
            <w:pPr>
              <w:pStyle w:val="903"/>
              <w:rPr>
                <w:b/>
                <w:color w:val="000000"/>
                <w:lang w:bidi="ar"/>
              </w:rPr>
            </w:pPr>
            <w:r>
              <w:rPr>
                <w:b/>
                <w:i/>
                <w:iCs/>
                <w:color w:val="000000"/>
                <w:u w:val="single"/>
              </w:rPr>
              <w:t xml:space="preserve">售后服务</w:t>
            </w:r>
            <w:r>
              <w:rPr>
                <w:b/>
                <w:color w:val="000000"/>
                <w:lang w:bidi="ar"/>
              </w:rPr>
            </w:r>
            <w:r/>
          </w:p>
        </w:tc>
        <w:tc>
          <w:tcPr>
            <w:tcW w:w="6983" w:type="dxa"/>
            <w:vAlign w:val="center"/>
            <w:textDirection w:val="lrTb"/>
            <w:noWrap w:val="false"/>
          </w:tcPr>
          <w:p>
            <w:pPr>
              <w:pStyle w:val="903"/>
              <w:rPr>
                <w:b/>
                <w:i/>
                <w:iCs/>
                <w:color w:val="000000"/>
                <w:u w:val="single"/>
                <w:lang w:eastAsia="en-US"/>
              </w:rPr>
            </w:pPr>
            <w:r>
              <w:rPr>
                <w:b/>
                <w:i/>
                <w:iCs/>
                <w:color w:val="000000"/>
                <w:u w:val="single"/>
                <w:lang w:eastAsia="en-US"/>
              </w:rPr>
              <w:t xml:space="preserve">提供</w:t>
            </w:r>
            <w:r>
              <w:rPr>
                <w:b/>
                <w:i/>
                <w:iCs/>
                <w:color w:val="000000"/>
                <w:u w:val="single"/>
              </w:rPr>
              <w:t xml:space="preserve">项目服务期内的</w:t>
            </w:r>
            <w:r>
              <w:rPr>
                <w:b/>
                <w:i/>
                <w:iCs/>
                <w:color w:val="000000"/>
                <w:u w:val="single"/>
                <w:lang w:eastAsia="en-US"/>
              </w:rPr>
              <w:t xml:space="preserve">硬件质保及软件升级服务</w:t>
            </w:r>
            <w:r/>
          </w:p>
        </w:tc>
      </w:tr>
    </w:tbl>
    <w:p>
      <w:pPr>
        <w:pStyle w:val="907"/>
        <w:numPr>
          <w:ilvl w:val="0"/>
          <w:numId w:val="7"/>
        </w:numPr>
        <w:spacing w:before="0" w:after="0" w:line="360" w:lineRule="auto"/>
        <w:rPr>
          <w:rFonts w:ascii="Times New Roman" w:hAnsi="Times New Roman"/>
          <w:color w:val="000000"/>
        </w:rPr>
      </w:pPr>
      <w:r>
        <w:rPr>
          <w:rFonts w:ascii="Times New Roman" w:hAnsi="Times New Roman"/>
          <w:color w:val="000000"/>
        </w:rPr>
        <w:t xml:space="preserve">市级防火墙</w:t>
      </w:r>
      <w:r/>
    </w:p>
    <w:tbl>
      <w:tblPr>
        <w:tblW w:w="84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6794"/>
      </w:tblGrid>
      <w:tr>
        <w:trPr>
          <w:trHeight w:val="497"/>
        </w:trPr>
        <w:tc>
          <w:tcPr>
            <w:tcW w:w="1668" w:type="dxa"/>
            <w:vAlign w:val="center"/>
            <w:textDirection w:val="lrTb"/>
            <w:noWrap w:val="false"/>
          </w:tcPr>
          <w:p>
            <w:pPr>
              <w:pStyle w:val="903"/>
              <w:rPr>
                <w:color w:val="000000"/>
              </w:rPr>
            </w:pPr>
            <w:r>
              <w:rPr>
                <w:color w:val="000000"/>
              </w:rPr>
              <w:t xml:space="preserve">技术指标</w:t>
            </w:r>
            <w:r/>
          </w:p>
        </w:tc>
        <w:tc>
          <w:tcPr>
            <w:tcW w:w="6794" w:type="dxa"/>
            <w:vAlign w:val="center"/>
            <w:textDirection w:val="lrTb"/>
            <w:noWrap w:val="false"/>
          </w:tcPr>
          <w:p>
            <w:pPr>
              <w:pStyle w:val="903"/>
              <w:rPr>
                <w:color w:val="000000"/>
              </w:rPr>
            </w:pPr>
            <w:r>
              <w:rPr>
                <w:color w:val="000000"/>
              </w:rPr>
              <w:t xml:space="preserve">参数要求</w:t>
            </w:r>
            <w:r/>
          </w:p>
        </w:tc>
      </w:tr>
      <w:tr>
        <w:trPr>
          <w:cantSplit/>
          <w:trHeight w:val="520"/>
        </w:trPr>
        <w:tc>
          <w:tcPr>
            <w:tcW w:w="1668" w:type="dxa"/>
            <w:vAlign w:val="center"/>
            <w:vMerge w:val="restart"/>
            <w:textDirection w:val="lrTb"/>
            <w:noWrap w:val="false"/>
          </w:tcPr>
          <w:p>
            <w:pPr>
              <w:pStyle w:val="903"/>
              <w:rPr>
                <w:b/>
                <w:i/>
                <w:iCs/>
                <w:color w:val="000000"/>
                <w:u w:val="single"/>
              </w:rPr>
            </w:pPr>
            <w:r>
              <w:rPr>
                <w:b/>
                <w:i/>
                <w:iCs/>
                <w:color w:val="000000"/>
                <w:u w:val="single"/>
              </w:rPr>
              <w:t xml:space="preserve">硬件规格</w:t>
            </w:r>
            <w:r/>
          </w:p>
        </w:tc>
        <w:tc>
          <w:tcPr>
            <w:tcW w:w="6794" w:type="dxa"/>
            <w:vAlign w:val="center"/>
            <w:textDirection w:val="lrTb"/>
            <w:noWrap w:val="false"/>
          </w:tcPr>
          <w:p>
            <w:pPr>
              <w:pStyle w:val="903"/>
              <w:rPr>
                <w:b/>
                <w:i/>
                <w:iCs/>
                <w:color w:val="000000"/>
                <w:u w:val="single"/>
              </w:rPr>
            </w:pPr>
            <w:r>
              <w:rPr>
                <w:b/>
                <w:i/>
                <w:iCs/>
                <w:color w:val="000000"/>
                <w:u w:val="single"/>
              </w:rPr>
              <w:t xml:space="preserve">机架式硬件设备，基于高性能硬件平台和专业安全操作系统，多核处理器硬件架构；标配双电源；配置1T SSD硬盘。</w:t>
            </w:r>
            <w:r/>
          </w:p>
        </w:tc>
      </w:tr>
      <w:tr>
        <w:trPr>
          <w:cantSplit/>
          <w:trHeight w:val="283"/>
        </w:trPr>
        <w:tc>
          <w:tcPr>
            <w:tcW w:w="1668" w:type="dxa"/>
            <w:vAlign w:val="center"/>
            <w:vMerge w:val="continue"/>
            <w:textDirection w:val="lrTb"/>
            <w:noWrap w:val="false"/>
          </w:tcPr>
          <w:p>
            <w:pPr>
              <w:pStyle w:val="903"/>
              <w:rPr>
                <w:b/>
                <w:i/>
                <w:iCs/>
                <w:color w:val="000000"/>
                <w:u w:val="single"/>
              </w:rPr>
            </w:pPr>
            <w:r>
              <w:rPr>
                <w:b/>
                <w:i/>
                <w:iCs/>
                <w:color w:val="000000"/>
                <w:u w:val="single"/>
              </w:rPr>
            </w:r>
            <w:r/>
          </w:p>
        </w:tc>
        <w:tc>
          <w:tcPr>
            <w:tcBorders>
              <w:top w:val="none" w:color="000000" w:sz="4" w:space="0"/>
              <w:left w:val="none" w:color="000000" w:sz="4" w:space="0"/>
              <w:bottom w:val="single" w:color="000000" w:sz="4" w:space="0"/>
              <w:right w:val="single" w:color="000000" w:sz="4" w:space="0"/>
            </w:tcBorders>
            <w:tcW w:w="6794" w:type="dxa"/>
            <w:vAlign w:val="center"/>
            <w:textDirection w:val="lrTb"/>
            <w:noWrap w:val="false"/>
          </w:tcPr>
          <w:p>
            <w:pPr>
              <w:pStyle w:val="903"/>
              <w:rPr>
                <w:b/>
                <w:i/>
                <w:iCs/>
                <w:color w:val="000000"/>
                <w:u w:val="single"/>
              </w:rPr>
            </w:pPr>
            <w:r>
              <w:rPr>
                <w:b/>
                <w:i/>
                <w:iCs/>
                <w:color w:val="000000"/>
                <w:u w:val="single"/>
              </w:rPr>
              <w:t xml:space="preserve">配置≥8个千兆电口，至少2个万兆SFP+光口、8个千兆SFP光口；提供RJ45串口≥1个、MGT口≥1个。</w:t>
            </w:r>
            <w:r/>
          </w:p>
        </w:tc>
      </w:tr>
      <w:tr>
        <w:trPr>
          <w:cantSplit/>
          <w:trHeight w:val="325"/>
        </w:trPr>
        <w:tc>
          <w:tcPr>
            <w:tcW w:w="1668" w:type="dxa"/>
            <w:vAlign w:val="center"/>
            <w:vMerge w:val="restart"/>
            <w:textDirection w:val="lrTb"/>
            <w:noWrap w:val="false"/>
          </w:tcPr>
          <w:p>
            <w:pPr>
              <w:pStyle w:val="903"/>
              <w:rPr>
                <w:iCs/>
                <w:color w:val="000000"/>
              </w:rPr>
            </w:pPr>
            <w:r>
              <w:rPr>
                <w:iCs/>
                <w:color w:val="000000"/>
              </w:rPr>
              <w:t xml:space="preserve">性能</w:t>
            </w:r>
            <w:r/>
          </w:p>
        </w:tc>
        <w:tc>
          <w:tcPr>
            <w:tcBorders>
              <w:top w:val="none" w:color="000000" w:sz="4" w:space="0"/>
              <w:left w:val="none" w:color="000000" w:sz="4" w:space="0"/>
              <w:bottom w:val="single" w:color="000000" w:sz="4" w:space="0"/>
              <w:right w:val="single" w:color="000000" w:sz="4" w:space="0"/>
            </w:tcBorders>
            <w:tcW w:w="6794" w:type="dxa"/>
            <w:vAlign w:val="center"/>
            <w:textDirection w:val="lrTb"/>
            <w:noWrap w:val="false"/>
          </w:tcPr>
          <w:p>
            <w:pPr>
              <w:pStyle w:val="903"/>
              <w:rPr>
                <w:b/>
                <w:i/>
                <w:iCs/>
                <w:color w:val="000000"/>
                <w:u w:val="single"/>
              </w:rPr>
            </w:pPr>
            <w:r>
              <w:rPr>
                <w:b/>
                <w:i/>
                <w:iCs/>
                <w:color w:val="000000"/>
                <w:u w:val="single"/>
              </w:rPr>
              <w:t xml:space="preserve">网络吞吐量≥10Gbps，新建并发连接≥13万/s； </w:t>
            </w:r>
            <w:r/>
          </w:p>
        </w:tc>
      </w:tr>
      <w:tr>
        <w:trPr>
          <w:cantSplit/>
          <w:trHeight w:val="325"/>
        </w:trPr>
        <w:tc>
          <w:tcPr>
            <w:tcW w:w="1668" w:type="dxa"/>
            <w:vAlign w:val="center"/>
            <w:vMerge w:val="continue"/>
            <w:textDirection w:val="lrTb"/>
            <w:noWrap w:val="false"/>
          </w:tcPr>
          <w:p>
            <w:pPr>
              <w:pStyle w:val="903"/>
              <w:rPr>
                <w:i/>
                <w:iCs/>
                <w:color w:val="000000"/>
                <w:u w:val="single"/>
              </w:rPr>
            </w:pPr>
            <w:r>
              <w:rPr>
                <w:i/>
                <w:iCs/>
                <w:color w:val="000000"/>
                <w:u w:val="single"/>
              </w:rPr>
            </w:r>
            <w:r/>
          </w:p>
        </w:tc>
        <w:tc>
          <w:tcPr>
            <w:tcBorders>
              <w:top w:val="none" w:color="000000" w:sz="4" w:space="0"/>
              <w:left w:val="none" w:color="000000" w:sz="4" w:space="0"/>
              <w:bottom w:val="single" w:color="000000" w:sz="4" w:space="0"/>
              <w:right w:val="single" w:color="000000" w:sz="4" w:space="0"/>
            </w:tcBorders>
            <w:tcW w:w="6794" w:type="dxa"/>
            <w:vAlign w:val="center"/>
            <w:textDirection w:val="lrTb"/>
            <w:noWrap w:val="false"/>
          </w:tcPr>
          <w:p>
            <w:pPr>
              <w:pStyle w:val="903"/>
              <w:rPr>
                <w:iCs/>
                <w:color w:val="000000"/>
              </w:rPr>
            </w:pPr>
            <w:r>
              <w:rPr>
                <w:iCs/>
                <w:color w:val="000000"/>
              </w:rPr>
              <w:t xml:space="preserve">IPv6并发连接数≥150万，IPSec隧道数≥6000个，IPsec VPN吞吐量≥5Gbps，并发SSL VPN用户≥6个。</w:t>
            </w:r>
            <w:r/>
          </w:p>
        </w:tc>
      </w:tr>
      <w:tr>
        <w:trPr>
          <w:cantSplit/>
          <w:trHeight w:val="1489"/>
        </w:trPr>
        <w:tc>
          <w:tcPr>
            <w:tcW w:w="1668" w:type="dxa"/>
            <w:vAlign w:val="center"/>
            <w:vMerge w:val="restart"/>
            <w:textDirection w:val="lrTb"/>
            <w:noWrap w:val="false"/>
          </w:tcPr>
          <w:p>
            <w:pPr>
              <w:pStyle w:val="903"/>
              <w:rPr>
                <w:color w:val="000000"/>
              </w:rPr>
            </w:pPr>
            <w:r>
              <w:rPr>
                <w:color w:val="000000"/>
              </w:rPr>
              <w:t xml:space="preserve">网络适应性</w:t>
            </w:r>
            <w:r/>
          </w:p>
        </w:tc>
        <w:tc>
          <w:tcPr>
            <w:tcW w:w="6794" w:type="dxa"/>
            <w:vAlign w:val="center"/>
            <w:textDirection w:val="lrTb"/>
            <w:noWrap w:val="false"/>
          </w:tcPr>
          <w:p>
            <w:pPr>
              <w:pStyle w:val="903"/>
              <w:rPr>
                <w:color w:val="000000"/>
              </w:rPr>
            </w:pPr>
            <w:r>
              <w:rPr>
                <w:color w:val="000000"/>
              </w:rPr>
              <w:t xml:space="preserve">支持透明、路由、混合、直连（虚拟线）模式</w:t>
            </w:r>
            <w:r/>
          </w:p>
          <w:p>
            <w:pPr>
              <w:pStyle w:val="903"/>
              <w:rPr>
                <w:color w:val="000000"/>
              </w:rPr>
            </w:pPr>
            <w:r>
              <w:rPr>
                <w:color w:val="000000"/>
              </w:rPr>
              <w:t xml:space="preserve">支持对3000 种应用的识别和控制</w:t>
            </w:r>
            <w:r/>
          </w:p>
          <w:p>
            <w:pPr>
              <w:pStyle w:val="903"/>
              <w:rPr>
                <w:color w:val="000000"/>
              </w:rPr>
            </w:pPr>
            <w:r>
              <w:rPr>
                <w:color w:val="000000"/>
              </w:rPr>
              <w:t xml:space="preserve">支持静态路由、ISP路由，OSPF、BGP、RIP、ISIS、策略路由，策略路由支持基于应用协议的路由功能，根据应用类型进行路由选择</w:t>
            </w:r>
            <w:r/>
          </w:p>
          <w:p>
            <w:pPr>
              <w:pStyle w:val="903"/>
              <w:rPr>
                <w:color w:val="000000"/>
              </w:rPr>
            </w:pPr>
            <w:r>
              <w:rPr>
                <w:color w:val="000000"/>
              </w:rPr>
              <w:t xml:space="preserve">支持BFD 功能，支持BFD与静态路由/OSPF/BGP进行联动。</w:t>
            </w:r>
            <w:r/>
          </w:p>
        </w:tc>
      </w:tr>
      <w:tr>
        <w:trPr>
          <w:cantSplit/>
          <w:trHeight w:val="361"/>
        </w:trPr>
        <w:tc>
          <w:tcPr>
            <w:tcW w:w="1668" w:type="dxa"/>
            <w:vAlign w:val="center"/>
            <w:vMerge w:val="continue"/>
            <w:textDirection w:val="lrTb"/>
            <w:noWrap w:val="false"/>
          </w:tcPr>
          <w:p>
            <w:pPr>
              <w:pStyle w:val="903"/>
              <w:rPr>
                <w:color w:val="000000"/>
              </w:rPr>
            </w:pPr>
            <w:r>
              <w:rPr>
                <w:color w:val="000000"/>
              </w:rPr>
            </w:r>
            <w:r/>
          </w:p>
        </w:tc>
        <w:tc>
          <w:tcPr>
            <w:tcW w:w="6794" w:type="dxa"/>
            <w:vAlign w:val="center"/>
            <w:textDirection w:val="lrTb"/>
            <w:noWrap w:val="false"/>
          </w:tcPr>
          <w:p>
            <w:pPr>
              <w:pStyle w:val="903"/>
              <w:rPr>
                <w:color w:val="000000"/>
              </w:rPr>
            </w:pPr>
            <w:r>
              <w:rPr>
                <w:color w:val="000000"/>
              </w:rPr>
              <w:t xml:space="preserve">支持基于源地址、目的地址、生效时间、应用协议（http、https、mysql、ms-sql、sqlnet、sip等）限制新建连接、并发连接</w:t>
            </w:r>
            <w:r/>
          </w:p>
          <w:p>
            <w:pPr>
              <w:pStyle w:val="903"/>
              <w:rPr>
                <w:color w:val="000000"/>
              </w:rPr>
            </w:pPr>
            <w:r>
              <w:rPr>
                <w:color w:val="000000"/>
              </w:rPr>
              <w:t xml:space="preserve">支持把同一类型的策略通过聚合策略或者策略组的功能进行统一管理；</w:t>
            </w:r>
            <w:r/>
          </w:p>
        </w:tc>
      </w:tr>
      <w:tr>
        <w:trPr>
          <w:trHeight w:val="813"/>
        </w:trPr>
        <w:tc>
          <w:tcPr>
            <w:tcW w:w="1668" w:type="dxa"/>
            <w:vAlign w:val="center"/>
            <w:textDirection w:val="lrTb"/>
            <w:noWrap w:val="false"/>
          </w:tcPr>
          <w:p>
            <w:pPr>
              <w:pStyle w:val="903"/>
              <w:rPr>
                <w:color w:val="000000"/>
              </w:rPr>
            </w:pPr>
            <w:r>
              <w:rPr>
                <w:color w:val="000000"/>
              </w:rPr>
              <w:t xml:space="preserve">NAT功能</w:t>
            </w:r>
            <w:r/>
          </w:p>
        </w:tc>
        <w:tc>
          <w:tcPr>
            <w:tcW w:w="6794" w:type="dxa"/>
            <w:vAlign w:val="center"/>
            <w:textDirection w:val="lrTb"/>
            <w:noWrap w:val="false"/>
          </w:tcPr>
          <w:p>
            <w:pPr>
              <w:pStyle w:val="903"/>
              <w:rPr>
                <w:color w:val="000000"/>
              </w:rPr>
            </w:pPr>
            <w:r>
              <w:rPr>
                <w:color w:val="000000"/>
              </w:rPr>
              <w:t xml:space="preserve">支持多对一、多对多的NAT地址转换，且公网地址池可选择逐一使用和同时使用两种模式。</w:t>
            </w:r>
            <w:r/>
          </w:p>
          <w:p>
            <w:pPr>
              <w:pStyle w:val="903"/>
              <w:rPr>
                <w:color w:val="000000"/>
              </w:rPr>
            </w:pPr>
            <w:r>
              <w:rPr>
                <w:color w:val="000000"/>
              </w:rPr>
              <w:t xml:space="preserve">支持NAT444模式，支持导出NAT444静态映射表</w:t>
            </w:r>
            <w:r/>
          </w:p>
          <w:p>
            <w:pPr>
              <w:pStyle w:val="903"/>
              <w:rPr>
                <w:color w:val="000000"/>
              </w:rPr>
            </w:pPr>
            <w:r>
              <w:rPr>
                <w:color w:val="000000"/>
              </w:rPr>
              <w:t xml:space="preserve">支持NAT公网地址池中IP有效性检测，避免因NAT地址无法使用导致业务中断。</w:t>
            </w:r>
            <w:r/>
          </w:p>
        </w:tc>
      </w:tr>
      <w:tr>
        <w:trPr>
          <w:trHeight w:val="1102"/>
        </w:trPr>
        <w:tc>
          <w:tcPr>
            <w:tcW w:w="1668" w:type="dxa"/>
            <w:vAlign w:val="center"/>
            <w:textDirection w:val="lrTb"/>
            <w:noWrap w:val="false"/>
          </w:tcPr>
          <w:p>
            <w:pPr>
              <w:pStyle w:val="903"/>
              <w:rPr>
                <w:color w:val="000000"/>
              </w:rPr>
            </w:pPr>
            <w:r>
              <w:rPr>
                <w:color w:val="000000"/>
              </w:rPr>
              <w:t xml:space="preserve">攻击防护</w:t>
            </w:r>
            <w:r/>
          </w:p>
        </w:tc>
        <w:tc>
          <w:tcPr>
            <w:tcW w:w="6794" w:type="dxa"/>
            <w:vAlign w:val="center"/>
            <w:textDirection w:val="lrTb"/>
            <w:noWrap w:val="false"/>
          </w:tcPr>
          <w:p>
            <w:pPr>
              <w:pStyle w:val="903"/>
              <w:rPr>
                <w:color w:val="000000"/>
              </w:rPr>
            </w:pPr>
            <w:r>
              <w:rPr>
                <w:color w:val="000000"/>
              </w:rPr>
              <w:t xml:space="preserve">支持SYN Flood、ICMP Flood、UDP Flood、DNS Flood、ARP Flood攻击防护，支持IP地址扫描，端口扫描防护，支持欺骗防护功能、支持IP协议异常报文检测和TCP协议异常报文检测</w:t>
            </w:r>
            <w:r/>
          </w:p>
          <w:p>
            <w:pPr>
              <w:pStyle w:val="903"/>
              <w:rPr>
                <w:color w:val="000000"/>
              </w:rPr>
            </w:pPr>
            <w:r>
              <w:rPr>
                <w:color w:val="000000"/>
              </w:rPr>
              <w:t xml:space="preserve">支持源/目的IP地址白名单</w:t>
            </w:r>
            <w:r/>
          </w:p>
        </w:tc>
      </w:tr>
      <w:tr>
        <w:trPr>
          <w:trHeight w:val="1375"/>
        </w:trPr>
        <w:tc>
          <w:tcPr>
            <w:tcW w:w="1668" w:type="dxa"/>
            <w:vAlign w:val="center"/>
            <w:textDirection w:val="lrTb"/>
            <w:noWrap w:val="false"/>
          </w:tcPr>
          <w:p>
            <w:pPr>
              <w:pStyle w:val="903"/>
              <w:rPr>
                <w:color w:val="000000"/>
              </w:rPr>
            </w:pPr>
            <w:r>
              <w:rPr>
                <w:color w:val="000000"/>
              </w:rPr>
              <w:t xml:space="preserve">IPV6功能</w:t>
            </w:r>
            <w:r/>
          </w:p>
        </w:tc>
        <w:tc>
          <w:tcPr>
            <w:tcW w:w="6794" w:type="dxa"/>
            <w:vAlign w:val="center"/>
            <w:textDirection w:val="lrTb"/>
            <w:noWrap w:val="false"/>
          </w:tcPr>
          <w:p>
            <w:pPr>
              <w:pStyle w:val="903"/>
              <w:rPr>
                <w:color w:val="000000"/>
              </w:rPr>
            </w:pPr>
            <w:r>
              <w:rPr>
                <w:color w:val="000000"/>
              </w:rPr>
              <w:t xml:space="preserve">支持IPV6邻居发现协议、IPV6 SNMP管理、IPV6路由配置、IPV6 DNS配置、IPV6策略配置、IPV6 ALG配置、IPV6 6TO4隧道配置、IPV6 4to6隧道配置、NAT-PT配置、NAT64和DNS64配置</w:t>
            </w:r>
            <w:r/>
          </w:p>
          <w:p>
            <w:pPr>
              <w:pStyle w:val="903"/>
              <w:rPr>
                <w:color w:val="000000"/>
              </w:rPr>
            </w:pPr>
            <w:r>
              <w:rPr>
                <w:color w:val="000000"/>
              </w:rPr>
              <w:t xml:space="preserve">支持对IPV6用户的会话日志监控、流量监控、应用监控功能，并且能够对IPV6用户进行自定义监控统计功能</w:t>
            </w:r>
            <w:r/>
          </w:p>
        </w:tc>
      </w:tr>
      <w:tr>
        <w:trPr>
          <w:trHeight w:val="1102"/>
        </w:trPr>
        <w:tc>
          <w:tcPr>
            <w:tcW w:w="1668" w:type="dxa"/>
            <w:vAlign w:val="center"/>
            <w:textDirection w:val="lrTb"/>
            <w:noWrap w:val="false"/>
          </w:tcPr>
          <w:p>
            <w:pPr>
              <w:pStyle w:val="903"/>
              <w:rPr>
                <w:color w:val="000000"/>
              </w:rPr>
            </w:pPr>
            <w:r>
              <w:rPr>
                <w:color w:val="000000"/>
              </w:rPr>
              <w:t xml:space="preserve">SSL解密</w:t>
            </w:r>
            <w:r/>
          </w:p>
        </w:tc>
        <w:tc>
          <w:tcPr>
            <w:tcW w:w="6794" w:type="dxa"/>
            <w:vAlign w:val="center"/>
            <w:textDirection w:val="lrTb"/>
            <w:noWrap w:val="false"/>
          </w:tcPr>
          <w:p>
            <w:pPr>
              <w:pStyle w:val="903"/>
              <w:rPr>
                <w:color w:val="000000"/>
              </w:rPr>
            </w:pPr>
            <w:r>
              <w:rPr>
                <w:color w:val="000000"/>
              </w:rPr>
              <w:t xml:space="preserve">支持基于客户端、服务端流量检查功能；支持基于HTTPS/SMTPS/POP3S/IMAPS协议的应用解密功能</w:t>
            </w:r>
            <w:r/>
          </w:p>
          <w:p>
            <w:pPr>
              <w:pStyle w:val="903"/>
              <w:rPr>
                <w:color w:val="000000"/>
              </w:rPr>
            </w:pPr>
            <w:r>
              <w:rPr>
                <w:color w:val="000000"/>
              </w:rPr>
              <w:t xml:space="preserve">支持基于URL分类设置白名单；提供SSL代理根证书供PC端使用，以消除浏览器告警提示，并能在浏览器上弹出下载提示。</w:t>
            </w:r>
            <w:r/>
          </w:p>
        </w:tc>
      </w:tr>
      <w:tr>
        <w:trPr>
          <w:cantSplit/>
          <w:trHeight w:val="405"/>
        </w:trPr>
        <w:tc>
          <w:tcPr>
            <w:tcW w:w="1668" w:type="dxa"/>
            <w:vAlign w:val="center"/>
            <w:vMerge w:val="restart"/>
            <w:textDirection w:val="lrTb"/>
            <w:noWrap w:val="false"/>
          </w:tcPr>
          <w:p>
            <w:pPr>
              <w:pStyle w:val="903"/>
              <w:rPr>
                <w:color w:val="000000"/>
              </w:rPr>
            </w:pPr>
            <w:r>
              <w:rPr>
                <w:color w:val="000000"/>
              </w:rPr>
              <w:t xml:space="preserve">管理功能</w:t>
            </w:r>
            <w:r/>
          </w:p>
        </w:tc>
        <w:tc>
          <w:tcPr>
            <w:tcW w:w="6794" w:type="dxa"/>
            <w:vAlign w:val="center"/>
            <w:textDirection w:val="lrTb"/>
            <w:noWrap w:val="false"/>
          </w:tcPr>
          <w:p>
            <w:pPr>
              <w:pStyle w:val="903"/>
              <w:rPr>
                <w:color w:val="000000"/>
              </w:rPr>
            </w:pPr>
            <w:r>
              <w:rPr>
                <w:color w:val="000000"/>
              </w:rPr>
              <w:t xml:space="preserve">支持不少于8个配置文件并存，并支持配置文件备注以便配置回退。</w:t>
            </w:r>
            <w:r/>
          </w:p>
          <w:p>
            <w:pPr>
              <w:pStyle w:val="903"/>
              <w:rPr>
                <w:color w:val="000000"/>
              </w:rPr>
            </w:pPr>
            <w:r>
              <w:rPr>
                <w:color w:val="000000"/>
              </w:rPr>
              <w:t xml:space="preserve">提供标准的SNMPV1/V2/V3协议管理方式；支持LLDP协议。</w:t>
            </w:r>
            <w:r/>
          </w:p>
        </w:tc>
      </w:tr>
      <w:tr>
        <w:trPr>
          <w:cantSplit/>
          <w:trHeight w:val="405"/>
        </w:trPr>
        <w:tc>
          <w:tcPr>
            <w:tcW w:w="1668" w:type="dxa"/>
            <w:vAlign w:val="center"/>
            <w:vMerge w:val="continue"/>
            <w:textDirection w:val="lrTb"/>
            <w:noWrap w:val="false"/>
          </w:tcPr>
          <w:p>
            <w:pPr>
              <w:pStyle w:val="903"/>
              <w:rPr>
                <w:color w:val="000000"/>
              </w:rPr>
            </w:pPr>
            <w:r>
              <w:rPr>
                <w:color w:val="000000"/>
              </w:rPr>
            </w:r>
            <w:r/>
          </w:p>
        </w:tc>
        <w:tc>
          <w:tcPr>
            <w:tcW w:w="6794" w:type="dxa"/>
            <w:vAlign w:val="center"/>
            <w:textDirection w:val="lrTb"/>
            <w:noWrap w:val="false"/>
          </w:tcPr>
          <w:p>
            <w:pPr>
              <w:pStyle w:val="903"/>
              <w:rPr>
                <w:color w:val="000000"/>
              </w:rPr>
            </w:pPr>
            <w:r>
              <w:rPr>
                <w:rFonts w:hint="eastAsia" w:ascii="宋体" w:hAnsi="宋体" w:cs="宋体"/>
                <w:color w:val="000000"/>
              </w:rPr>
              <w:t xml:space="preserve">★</w:t>
            </w:r>
            <w:r>
              <w:rPr>
                <w:color w:val="000000"/>
              </w:rPr>
              <w:t xml:space="preserve">基于应用/角色/国家地理IP的安全策略（提供产品界面截图）</w:t>
            </w:r>
            <w:r/>
          </w:p>
        </w:tc>
      </w:tr>
      <w:tr>
        <w:trPr>
          <w:cantSplit/>
          <w:trHeight w:val="2063"/>
        </w:trPr>
        <w:tc>
          <w:tcPr>
            <w:tcW w:w="1668" w:type="dxa"/>
            <w:vAlign w:val="center"/>
            <w:vMerge w:val="continue"/>
            <w:textDirection w:val="lrTb"/>
            <w:noWrap w:val="false"/>
          </w:tcPr>
          <w:p>
            <w:pPr>
              <w:pStyle w:val="903"/>
              <w:rPr>
                <w:color w:val="000000"/>
              </w:rPr>
            </w:pPr>
            <w:r>
              <w:rPr>
                <w:color w:val="000000"/>
              </w:rPr>
            </w:r>
            <w:r/>
          </w:p>
        </w:tc>
        <w:tc>
          <w:tcPr>
            <w:tcW w:w="6794" w:type="dxa"/>
            <w:vAlign w:val="center"/>
            <w:textDirection w:val="lrTb"/>
            <w:noWrap w:val="false"/>
          </w:tcPr>
          <w:p>
            <w:pPr>
              <w:pStyle w:val="903"/>
              <w:rPr>
                <w:color w:val="000000"/>
              </w:rPr>
            </w:pPr>
            <w:r>
              <w:rPr>
                <w:color w:val="000000"/>
              </w:rPr>
              <w:t xml:space="preserve">支持预定义和自定义报表模板，可自定义报表内容，报表内容包含网络及安全风险概况、网络流量详情、应用统计及风险详情、URL活动及风险详情、网络风险威胁详情和威胁说明等；报表格式支持PDF、HTML、WORD。</w:t>
            </w:r>
            <w:r/>
          </w:p>
          <w:p>
            <w:pPr>
              <w:pStyle w:val="903"/>
              <w:rPr>
                <w:color w:val="000000"/>
              </w:rPr>
            </w:pPr>
            <w:r>
              <w:rPr>
                <w:color w:val="000000"/>
              </w:rPr>
              <w:t xml:space="preserve">支持netflow进行流量信息采集和外发。</w:t>
            </w:r>
            <w:r/>
          </w:p>
          <w:p>
            <w:pPr>
              <w:pStyle w:val="903"/>
              <w:rPr>
                <w:color w:val="000000"/>
              </w:rPr>
            </w:pPr>
            <w:r>
              <w:rPr>
                <w:color w:val="000000"/>
              </w:rPr>
              <w:t xml:space="preserve">支持链路状态监控，可以查看链路的延迟、丢包率、抖动信息，可查看指定应用/应用组详情，支持选择多条链路进行对比分析</w:t>
            </w:r>
            <w:r/>
          </w:p>
        </w:tc>
      </w:tr>
      <w:tr>
        <w:trPr>
          <w:trHeight w:val="337"/>
        </w:trPr>
        <w:tc>
          <w:tcPr>
            <w:tcW w:w="1668" w:type="dxa"/>
            <w:vAlign w:val="center"/>
            <w:textDirection w:val="lrTb"/>
            <w:noWrap w:val="false"/>
          </w:tcPr>
          <w:p>
            <w:pPr>
              <w:pStyle w:val="903"/>
              <w:rPr>
                <w:color w:val="000000"/>
              </w:rPr>
            </w:pPr>
            <w:r>
              <w:rPr>
                <w:color w:val="000000"/>
              </w:rPr>
              <w:t xml:space="preserve">资质要求</w:t>
            </w:r>
            <w:r/>
          </w:p>
        </w:tc>
        <w:tc>
          <w:tcPr>
            <w:tcW w:w="6794" w:type="dxa"/>
            <w:vAlign w:val="top"/>
            <w:textDirection w:val="lrTb"/>
            <w:noWrap w:val="false"/>
          </w:tcPr>
          <w:p>
            <w:pPr>
              <w:pStyle w:val="903"/>
              <w:rPr>
                <w:color w:val="000000"/>
              </w:rPr>
            </w:pPr>
            <w:r>
              <w:rPr>
                <w:rFonts w:hint="eastAsia" w:ascii="宋体" w:hAnsi="宋体" w:cs="宋体"/>
                <w:color w:val="000000"/>
              </w:rPr>
              <w:t xml:space="preserve">★</w:t>
            </w:r>
            <w:r>
              <w:rPr>
                <w:color w:val="000000"/>
              </w:rPr>
              <w:t xml:space="preserve">防雷击，必须通过国家无线电监测中心检测中心浪涌（冲击）抗扰度（4KV）测试项目，并出具国家无线电监测中心检测中心委托测试报告。（提供测试报告证明）</w:t>
            </w:r>
            <w:r/>
          </w:p>
        </w:tc>
      </w:tr>
      <w:tr>
        <w:trPr>
          <w:trHeight w:val="165"/>
        </w:trPr>
        <w:tc>
          <w:tcPr>
            <w:tcW w:w="1668" w:type="dxa"/>
            <w:vAlign w:val="center"/>
            <w:textDirection w:val="lrTb"/>
            <w:noWrap w:val="false"/>
          </w:tcPr>
          <w:p>
            <w:pPr>
              <w:pStyle w:val="903"/>
              <w:rPr>
                <w:b/>
                <w:i/>
                <w:iCs/>
                <w:color w:val="000000"/>
                <w:u w:val="single"/>
              </w:rPr>
            </w:pPr>
            <w:r>
              <w:rPr>
                <w:b/>
                <w:i/>
                <w:iCs/>
                <w:color w:val="000000"/>
                <w:u w:val="single"/>
              </w:rPr>
              <w:t xml:space="preserve">售后服务</w:t>
            </w:r>
            <w:r/>
          </w:p>
        </w:tc>
        <w:tc>
          <w:tcPr>
            <w:tcW w:w="6794" w:type="dxa"/>
            <w:vAlign w:val="center"/>
            <w:textDirection w:val="lrTb"/>
            <w:noWrap/>
          </w:tcPr>
          <w:p>
            <w:pPr>
              <w:pStyle w:val="903"/>
              <w:rPr>
                <w:b/>
                <w:i/>
                <w:iCs/>
                <w:color w:val="000000"/>
                <w:u w:val="single"/>
                <w:lang w:eastAsia="en-US"/>
              </w:rPr>
            </w:pPr>
            <w:r>
              <w:rPr>
                <w:b/>
                <w:i/>
                <w:iCs/>
                <w:color w:val="000000"/>
                <w:u w:val="single"/>
                <w:lang w:eastAsia="en-US"/>
              </w:rPr>
              <w:t xml:space="preserve">提供</w:t>
            </w:r>
            <w:r>
              <w:rPr>
                <w:b/>
                <w:i/>
                <w:iCs/>
                <w:color w:val="000000"/>
                <w:u w:val="single"/>
              </w:rPr>
              <w:t xml:space="preserve">项目服务期内的</w:t>
            </w:r>
            <w:r>
              <w:rPr>
                <w:b/>
                <w:i/>
                <w:iCs/>
                <w:color w:val="000000"/>
                <w:u w:val="single"/>
                <w:lang w:eastAsia="en-US"/>
              </w:rPr>
              <w:t xml:space="preserve">硬件质保及软件升级服务</w:t>
            </w:r>
            <w:r/>
          </w:p>
        </w:tc>
      </w:tr>
    </w:tbl>
    <w:p>
      <w:pPr>
        <w:pStyle w:val="907"/>
        <w:numPr>
          <w:ilvl w:val="0"/>
          <w:numId w:val="7"/>
        </w:numPr>
        <w:spacing w:before="0" w:after="0" w:line="360" w:lineRule="auto"/>
        <w:rPr>
          <w:rFonts w:ascii="Times New Roman" w:hAnsi="Times New Roman"/>
          <w:color w:val="000000"/>
        </w:rPr>
      </w:pPr>
      <w:r>
        <w:rPr>
          <w:rFonts w:ascii="Times New Roman" w:hAnsi="Times New Roman"/>
          <w:color w:val="000000"/>
        </w:rPr>
        <w:t xml:space="preserve">区县级路由交换一体机</w:t>
      </w:r>
      <w:r/>
    </w:p>
    <w:tbl>
      <w:tblPr>
        <w:tblW w:w="86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7012"/>
      </w:tblGrid>
      <w:tr>
        <w:trPr/>
        <w:tc>
          <w:tcPr>
            <w:tcW w:w="1656" w:type="dxa"/>
            <w:vAlign w:val="center"/>
            <w:textDirection w:val="lrTb"/>
            <w:noWrap w:val="false"/>
          </w:tcPr>
          <w:p>
            <w:pPr>
              <w:pStyle w:val="903"/>
              <w:rPr>
                <w:color w:val="000000"/>
              </w:rPr>
            </w:pPr>
            <w:r>
              <w:rPr>
                <w:color w:val="000000"/>
              </w:rPr>
              <w:t xml:space="preserve">技术指标</w:t>
            </w:r>
            <w:r/>
          </w:p>
        </w:tc>
        <w:tc>
          <w:tcPr>
            <w:tcW w:w="7012" w:type="dxa"/>
            <w:vAlign w:val="center"/>
            <w:textDirection w:val="lrTb"/>
            <w:noWrap w:val="false"/>
          </w:tcPr>
          <w:p>
            <w:pPr>
              <w:pStyle w:val="903"/>
              <w:rPr>
                <w:color w:val="000000"/>
              </w:rPr>
            </w:pPr>
            <w:r>
              <w:rPr>
                <w:color w:val="000000"/>
              </w:rPr>
              <w:t xml:space="preserve">参数要求</w:t>
            </w:r>
            <w:r/>
          </w:p>
        </w:tc>
      </w:tr>
      <w:tr>
        <w:trPr/>
        <w:tc>
          <w:tcPr>
            <w:tcW w:w="1656" w:type="dxa"/>
            <w:vAlign w:val="center"/>
            <w:textDirection w:val="lrTb"/>
            <w:noWrap w:val="false"/>
          </w:tcPr>
          <w:p>
            <w:pPr>
              <w:pStyle w:val="903"/>
              <w:rPr>
                <w:color w:val="000000"/>
              </w:rPr>
            </w:pPr>
            <w:r>
              <w:rPr>
                <w:color w:val="000000"/>
              </w:rPr>
              <w:t xml:space="preserve">包转发率</w:t>
            </w:r>
            <w:r/>
          </w:p>
        </w:tc>
        <w:tc>
          <w:tcPr>
            <w:tcW w:w="7012" w:type="dxa"/>
            <w:vAlign w:val="center"/>
            <w:textDirection w:val="lrTb"/>
            <w:noWrap w:val="false"/>
          </w:tcPr>
          <w:p>
            <w:pPr>
              <w:pStyle w:val="903"/>
              <w:rPr>
                <w:color w:val="000000"/>
              </w:rPr>
            </w:pPr>
            <w:r>
              <w:rPr>
                <w:color w:val="000000"/>
              </w:rPr>
              <w:t xml:space="preserve">≥3Mpps</w:t>
            </w:r>
            <w:r/>
          </w:p>
        </w:tc>
      </w:tr>
      <w:tr>
        <w:trPr>
          <w:trHeight w:val="405"/>
        </w:trPr>
        <w:tc>
          <w:tcPr>
            <w:tcW w:w="1656" w:type="dxa"/>
            <w:vAlign w:val="center"/>
            <w:textDirection w:val="lrTb"/>
            <w:noWrap w:val="false"/>
          </w:tcPr>
          <w:p>
            <w:pPr>
              <w:pStyle w:val="903"/>
              <w:rPr>
                <w:color w:val="000000"/>
              </w:rPr>
            </w:pPr>
            <w:r>
              <w:rPr>
                <w:color w:val="000000"/>
              </w:rPr>
              <w:t xml:space="preserve">端口</w:t>
            </w:r>
            <w:r/>
          </w:p>
        </w:tc>
        <w:tc>
          <w:tcPr>
            <w:tcW w:w="7012" w:type="dxa"/>
            <w:vAlign w:val="center"/>
            <w:textDirection w:val="lrTb"/>
            <w:noWrap w:val="false"/>
          </w:tcPr>
          <w:p>
            <w:pPr>
              <w:pStyle w:val="903"/>
              <w:rPr>
                <w:color w:val="000000"/>
              </w:rPr>
            </w:pPr>
            <w:r>
              <w:rPr>
                <w:color w:val="000000"/>
              </w:rPr>
              <w:t xml:space="preserve">51GE 电+2GE光</w:t>
            </w:r>
            <w:r/>
          </w:p>
        </w:tc>
      </w:tr>
      <w:tr>
        <w:trPr/>
        <w:tc>
          <w:tcPr>
            <w:tcW w:w="1656" w:type="dxa"/>
            <w:vAlign w:val="center"/>
            <w:textDirection w:val="lrTb"/>
            <w:noWrap w:val="false"/>
          </w:tcPr>
          <w:p>
            <w:pPr>
              <w:pStyle w:val="903"/>
              <w:rPr>
                <w:color w:val="000000"/>
              </w:rPr>
            </w:pPr>
            <w:r>
              <w:rPr>
                <w:color w:val="000000"/>
              </w:rPr>
              <w:t xml:space="preserve">槽位数量</w:t>
            </w:r>
            <w:r/>
          </w:p>
        </w:tc>
        <w:tc>
          <w:tcPr>
            <w:tcW w:w="7012" w:type="dxa"/>
            <w:vAlign w:val="center"/>
            <w:textDirection w:val="lrTb"/>
            <w:noWrap w:val="false"/>
          </w:tcPr>
          <w:p>
            <w:pPr>
              <w:pStyle w:val="903"/>
              <w:rPr>
                <w:color w:val="000000"/>
              </w:rPr>
            </w:pPr>
            <w:r>
              <w:rPr>
                <w:color w:val="000000"/>
              </w:rPr>
              <w:t xml:space="preserve">≥4</w:t>
            </w:r>
            <w:r/>
          </w:p>
        </w:tc>
      </w:tr>
      <w:tr>
        <w:trPr>
          <w:trHeight w:val="70"/>
        </w:trPr>
        <w:tc>
          <w:tcPr>
            <w:tcBorders>
              <w:bottom w:val="single" w:color="000000" w:sz="4" w:space="0"/>
            </w:tcBorders>
            <w:tcW w:w="1656" w:type="dxa"/>
            <w:vAlign w:val="center"/>
            <w:textDirection w:val="lrTb"/>
            <w:noWrap w:val="false"/>
          </w:tcPr>
          <w:p>
            <w:pPr>
              <w:pStyle w:val="903"/>
              <w:rPr>
                <w:color w:val="000000"/>
              </w:rPr>
            </w:pPr>
            <w:r>
              <w:rPr>
                <w:color w:val="000000"/>
              </w:rPr>
              <w:t xml:space="preserve">上网行为审计</w:t>
            </w:r>
            <w:r/>
          </w:p>
        </w:tc>
        <w:tc>
          <w:tcPr>
            <w:tcBorders>
              <w:bottom w:val="single" w:color="000000" w:sz="4" w:space="0"/>
            </w:tcBorders>
            <w:tcW w:w="7012" w:type="dxa"/>
            <w:vAlign w:val="center"/>
            <w:textDirection w:val="lrTb"/>
            <w:noWrap w:val="false"/>
          </w:tcPr>
          <w:p>
            <w:pPr>
              <w:pStyle w:val="903"/>
              <w:rPr>
                <w:color w:val="000000"/>
              </w:rPr>
            </w:pPr>
            <w:r>
              <w:rPr>
                <w:color w:val="000000"/>
              </w:rPr>
              <w:t xml:space="preserve">支持记录终端用户访问互联网的日志，包括：用户名、源/目的IP地址、时间、访问的域名、URL等</w:t>
            </w:r>
            <w:r/>
          </w:p>
        </w:tc>
      </w:tr>
      <w:tr>
        <w:trPr>
          <w:trHeight w:val="157"/>
        </w:trPr>
        <w:tc>
          <w:tcPr>
            <w:tcW w:w="1656" w:type="dxa"/>
            <w:vAlign w:val="center"/>
            <w:textDirection w:val="lrTb"/>
            <w:noWrap w:val="false"/>
          </w:tcPr>
          <w:p>
            <w:pPr>
              <w:pStyle w:val="903"/>
              <w:rPr>
                <w:color w:val="000000"/>
              </w:rPr>
            </w:pPr>
            <w:r>
              <w:rPr>
                <w:color w:val="000000"/>
              </w:rPr>
              <w:t xml:space="preserve">广域网优化</w:t>
            </w:r>
            <w:r/>
          </w:p>
        </w:tc>
        <w:tc>
          <w:tcPr>
            <w:tcW w:w="7012" w:type="dxa"/>
            <w:vAlign w:val="center"/>
            <w:textDirection w:val="lrTb"/>
            <w:noWrap w:val="false"/>
          </w:tcPr>
          <w:p>
            <w:pPr>
              <w:pStyle w:val="903"/>
              <w:rPr>
                <w:color w:val="000000"/>
              </w:rPr>
            </w:pPr>
            <w:r>
              <w:rPr>
                <w:color w:val="000000"/>
              </w:rPr>
              <w:t xml:space="preserve">支持对HTTP/FTP等TCP业务流量进行优化传输技术，提高广域网带宽利用率</w:t>
            </w:r>
            <w:r/>
          </w:p>
        </w:tc>
      </w:tr>
      <w:tr>
        <w:trPr>
          <w:trHeight w:val="416"/>
        </w:trPr>
        <w:tc>
          <w:tcPr>
            <w:tcW w:w="1656" w:type="dxa"/>
            <w:vAlign w:val="center"/>
            <w:textDirection w:val="lrTb"/>
            <w:noWrap w:val="false"/>
          </w:tcPr>
          <w:p>
            <w:pPr>
              <w:pStyle w:val="903"/>
              <w:rPr>
                <w:color w:val="000000"/>
              </w:rPr>
            </w:pPr>
            <w:r>
              <w:rPr>
                <w:color w:val="000000"/>
              </w:rPr>
              <w:t xml:space="preserve">GR、NSR</w:t>
            </w:r>
            <w:r/>
          </w:p>
        </w:tc>
        <w:tc>
          <w:tcPr>
            <w:tcW w:w="7012" w:type="dxa"/>
            <w:vAlign w:val="center"/>
            <w:textDirection w:val="lrTb"/>
            <w:noWrap w:val="false"/>
          </w:tcPr>
          <w:p>
            <w:pPr>
              <w:pStyle w:val="903"/>
              <w:rPr>
                <w:color w:val="000000"/>
              </w:rPr>
            </w:pPr>
            <w:r>
              <w:rPr>
                <w:color w:val="000000"/>
              </w:rPr>
              <w:t xml:space="preserve">增强可靠性，可以实现链路或者设备故障是时，业务流量平滑过渡实现不丢包</w:t>
            </w:r>
            <w:r/>
          </w:p>
        </w:tc>
      </w:tr>
      <w:tr>
        <w:trPr>
          <w:trHeight w:val="416"/>
        </w:trPr>
        <w:tc>
          <w:tcPr>
            <w:tcW w:w="1656" w:type="dxa"/>
            <w:vAlign w:val="center"/>
            <w:textDirection w:val="lrTb"/>
            <w:noWrap w:val="false"/>
          </w:tcPr>
          <w:p>
            <w:pPr>
              <w:pStyle w:val="903"/>
              <w:rPr>
                <w:b/>
                <w:color w:val="000000"/>
              </w:rPr>
            </w:pPr>
            <w:r>
              <w:rPr>
                <w:b/>
                <w:i/>
                <w:iCs/>
                <w:color w:val="000000"/>
                <w:u w:val="single"/>
              </w:rPr>
              <w:t xml:space="preserve">售后服务</w:t>
            </w:r>
            <w:r>
              <w:rPr>
                <w:b/>
                <w:color w:val="000000"/>
              </w:rPr>
            </w:r>
            <w:r/>
          </w:p>
        </w:tc>
        <w:tc>
          <w:tcPr>
            <w:tcW w:w="7012" w:type="dxa"/>
            <w:vAlign w:val="center"/>
            <w:textDirection w:val="lrTb"/>
            <w:noWrap w:val="false"/>
          </w:tcPr>
          <w:p>
            <w:pPr>
              <w:pStyle w:val="903"/>
              <w:rPr>
                <w:b/>
                <w:i/>
                <w:iCs/>
                <w:color w:val="000000"/>
                <w:u w:val="single"/>
                <w:lang w:eastAsia="en-US"/>
              </w:rPr>
            </w:pPr>
            <w:r>
              <w:rPr>
                <w:b/>
                <w:i/>
                <w:iCs/>
                <w:color w:val="000000"/>
                <w:u w:val="single"/>
                <w:lang w:eastAsia="en-US"/>
              </w:rPr>
              <w:t xml:space="preserve">提供</w:t>
            </w:r>
            <w:r>
              <w:rPr>
                <w:b/>
                <w:i/>
                <w:iCs/>
                <w:color w:val="000000"/>
                <w:u w:val="single"/>
              </w:rPr>
              <w:t xml:space="preserve">项目服务期内的</w:t>
            </w:r>
            <w:r>
              <w:rPr>
                <w:b/>
                <w:i/>
                <w:iCs/>
                <w:color w:val="000000"/>
                <w:u w:val="single"/>
                <w:lang w:eastAsia="en-US"/>
              </w:rPr>
              <w:t xml:space="preserve">硬件质保及软件升级服务</w:t>
            </w:r>
            <w:r/>
          </w:p>
        </w:tc>
      </w:tr>
    </w:tbl>
    <w:p>
      <w:pPr>
        <w:pStyle w:val="907"/>
        <w:numPr>
          <w:ilvl w:val="0"/>
          <w:numId w:val="7"/>
        </w:numPr>
        <w:spacing w:before="0" w:after="0" w:line="360" w:lineRule="auto"/>
        <w:rPr>
          <w:rFonts w:ascii="Times New Roman" w:hAnsi="Times New Roman"/>
          <w:color w:val="000000"/>
        </w:rPr>
      </w:pPr>
      <w:r>
        <w:rPr>
          <w:rFonts w:ascii="Times New Roman" w:hAnsi="Times New Roman"/>
          <w:color w:val="000000"/>
        </w:rPr>
        <w:t xml:space="preserve">区县级防火墙</w:t>
      </w:r>
      <w:r/>
    </w:p>
    <w:tbl>
      <w:tblPr>
        <w:tblW w:w="84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6830"/>
      </w:tblGrid>
      <w:tr>
        <w:trPr>
          <w:trHeight w:val="233"/>
        </w:trPr>
        <w:tc>
          <w:tcPr>
            <w:tcW w:w="1608" w:type="dxa"/>
            <w:vAlign w:val="center"/>
            <w:textDirection w:val="lrTb"/>
            <w:noWrap w:val="false"/>
          </w:tcPr>
          <w:p>
            <w:pPr>
              <w:pStyle w:val="903"/>
              <w:rPr>
                <w:color w:val="000000"/>
              </w:rPr>
            </w:pPr>
            <w:r>
              <w:rPr>
                <w:color w:val="000000"/>
              </w:rPr>
              <w:t xml:space="preserve">技术指标</w:t>
            </w:r>
            <w:r/>
          </w:p>
        </w:tc>
        <w:tc>
          <w:tcPr>
            <w:tcW w:w="6830" w:type="dxa"/>
            <w:vAlign w:val="center"/>
            <w:textDirection w:val="lrTb"/>
            <w:noWrap w:val="false"/>
          </w:tcPr>
          <w:p>
            <w:pPr>
              <w:pStyle w:val="903"/>
              <w:rPr>
                <w:color w:val="000000"/>
              </w:rPr>
            </w:pPr>
            <w:r>
              <w:rPr>
                <w:color w:val="000000"/>
              </w:rPr>
              <w:t xml:space="preserve">参数要求</w:t>
            </w:r>
            <w:r/>
          </w:p>
        </w:tc>
      </w:tr>
      <w:tr>
        <w:trPr>
          <w:cantSplit/>
          <w:trHeight w:val="520"/>
        </w:trPr>
        <w:tc>
          <w:tcPr>
            <w:tcW w:w="1608" w:type="dxa"/>
            <w:vAlign w:val="center"/>
            <w:vMerge w:val="restart"/>
            <w:textDirection w:val="lrTb"/>
            <w:noWrap w:val="false"/>
          </w:tcPr>
          <w:p>
            <w:pPr>
              <w:pStyle w:val="903"/>
              <w:rPr>
                <w:b/>
                <w:i/>
                <w:iCs/>
                <w:color w:val="000000"/>
                <w:u w:val="single"/>
              </w:rPr>
            </w:pPr>
            <w:r>
              <w:rPr>
                <w:b/>
                <w:i/>
                <w:iCs/>
                <w:color w:val="000000"/>
                <w:u w:val="single"/>
              </w:rPr>
              <w:t xml:space="preserve">硬件规格</w:t>
            </w:r>
            <w:r/>
          </w:p>
        </w:tc>
        <w:tc>
          <w:tcPr>
            <w:tcW w:w="6830" w:type="dxa"/>
            <w:vAlign w:val="center"/>
            <w:textDirection w:val="lrTb"/>
            <w:noWrap w:val="false"/>
          </w:tcPr>
          <w:p>
            <w:pPr>
              <w:pStyle w:val="903"/>
              <w:rPr>
                <w:b/>
                <w:i/>
                <w:iCs/>
                <w:color w:val="000000"/>
                <w:u w:val="single"/>
              </w:rPr>
            </w:pPr>
            <w:r>
              <w:rPr>
                <w:b/>
                <w:i/>
                <w:iCs/>
                <w:color w:val="000000"/>
                <w:u w:val="single"/>
              </w:rPr>
              <w:t xml:space="preserve">专业防火墙硬件设备，基于高性能硬件平台和专业安全操作系统，多核处理器硬件架构；标配单电源。</w:t>
            </w:r>
            <w:r/>
          </w:p>
        </w:tc>
      </w:tr>
      <w:tr>
        <w:trPr>
          <w:cantSplit/>
          <w:trHeight w:val="283"/>
        </w:trPr>
        <w:tc>
          <w:tcPr>
            <w:tcW w:w="1608" w:type="dxa"/>
            <w:vAlign w:val="center"/>
            <w:vMerge w:val="continue"/>
            <w:textDirection w:val="lrTb"/>
            <w:noWrap w:val="false"/>
          </w:tcPr>
          <w:p>
            <w:pPr>
              <w:pStyle w:val="903"/>
              <w:rPr>
                <w:b/>
                <w:i/>
                <w:iCs/>
                <w:color w:val="000000"/>
                <w:u w:val="single"/>
              </w:rPr>
            </w:pPr>
            <w:r>
              <w:rPr>
                <w:b/>
                <w:i/>
                <w:iCs/>
                <w:color w:val="000000"/>
                <w:u w:val="single"/>
              </w:rPr>
            </w:r>
            <w:r/>
          </w:p>
        </w:tc>
        <w:tc>
          <w:tcPr>
            <w:tcBorders>
              <w:top w:val="none" w:color="000000" w:sz="4" w:space="0"/>
              <w:left w:val="none" w:color="000000" w:sz="4" w:space="0"/>
              <w:bottom w:val="single" w:color="000000" w:sz="4" w:space="0"/>
              <w:right w:val="single" w:color="000000" w:sz="4" w:space="0"/>
            </w:tcBorders>
            <w:tcW w:w="6830" w:type="dxa"/>
            <w:vAlign w:val="center"/>
            <w:textDirection w:val="lrTb"/>
            <w:noWrap w:val="false"/>
          </w:tcPr>
          <w:p>
            <w:pPr>
              <w:pStyle w:val="903"/>
              <w:rPr>
                <w:b/>
                <w:i/>
                <w:iCs/>
                <w:color w:val="000000"/>
                <w:u w:val="single"/>
              </w:rPr>
            </w:pPr>
            <w:r>
              <w:rPr>
                <w:b/>
                <w:i/>
                <w:iCs/>
                <w:color w:val="000000"/>
                <w:u w:val="single"/>
              </w:rPr>
              <w:t xml:space="preserve">配置≥4个千兆电口；提供RJ45串口≥1个、USB3.0口≥2个。</w:t>
            </w:r>
            <w:r/>
          </w:p>
        </w:tc>
      </w:tr>
      <w:tr>
        <w:trPr>
          <w:cantSplit/>
          <w:trHeight w:val="325"/>
        </w:trPr>
        <w:tc>
          <w:tcPr>
            <w:tcW w:w="1608" w:type="dxa"/>
            <w:vAlign w:val="center"/>
            <w:vMerge w:val="restart"/>
            <w:textDirection w:val="lrTb"/>
            <w:noWrap w:val="false"/>
          </w:tcPr>
          <w:p>
            <w:pPr>
              <w:pStyle w:val="903"/>
              <w:rPr>
                <w:iCs/>
                <w:color w:val="000000"/>
              </w:rPr>
            </w:pPr>
            <w:r>
              <w:rPr>
                <w:iCs/>
                <w:color w:val="000000"/>
              </w:rPr>
              <w:t xml:space="preserve">性能</w:t>
            </w:r>
            <w:r/>
          </w:p>
        </w:tc>
        <w:tc>
          <w:tcPr>
            <w:tcBorders>
              <w:top w:val="none" w:color="000000" w:sz="4" w:space="0"/>
              <w:left w:val="none" w:color="000000" w:sz="4" w:space="0"/>
              <w:bottom w:val="single" w:color="000000" w:sz="4" w:space="0"/>
              <w:right w:val="single" w:color="000000" w:sz="4" w:space="0"/>
            </w:tcBorders>
            <w:tcW w:w="6830" w:type="dxa"/>
            <w:vAlign w:val="center"/>
            <w:textDirection w:val="lrTb"/>
            <w:noWrap w:val="false"/>
          </w:tcPr>
          <w:p>
            <w:pPr>
              <w:pStyle w:val="903"/>
              <w:rPr>
                <w:b/>
                <w:i/>
                <w:iCs/>
                <w:color w:val="000000"/>
                <w:u w:val="single"/>
              </w:rPr>
            </w:pPr>
            <w:r>
              <w:rPr>
                <w:b/>
                <w:i/>
                <w:iCs/>
                <w:color w:val="000000"/>
                <w:u w:val="single"/>
              </w:rPr>
              <w:t xml:space="preserve">网络吞吐量≥4Gbps，新建并发连接≥4.5万/s；。</w:t>
            </w:r>
            <w:r/>
          </w:p>
        </w:tc>
      </w:tr>
      <w:tr>
        <w:trPr>
          <w:cantSplit/>
          <w:trHeight w:val="325"/>
        </w:trPr>
        <w:tc>
          <w:tcPr>
            <w:tcW w:w="1608" w:type="dxa"/>
            <w:vAlign w:val="center"/>
            <w:vMerge w:val="continue"/>
            <w:textDirection w:val="lrTb"/>
            <w:noWrap w:val="false"/>
          </w:tcPr>
          <w:p>
            <w:pPr>
              <w:pStyle w:val="903"/>
              <w:rPr>
                <w:i/>
                <w:iCs/>
                <w:color w:val="000000"/>
                <w:u w:val="single"/>
              </w:rPr>
            </w:pPr>
            <w:r>
              <w:rPr>
                <w:i/>
                <w:iCs/>
                <w:color w:val="000000"/>
                <w:u w:val="single"/>
              </w:rPr>
            </w:r>
            <w:r/>
          </w:p>
        </w:tc>
        <w:tc>
          <w:tcPr>
            <w:tcBorders>
              <w:top w:val="none" w:color="000000" w:sz="4" w:space="0"/>
              <w:left w:val="none" w:color="000000" w:sz="4" w:space="0"/>
              <w:bottom w:val="single" w:color="000000" w:sz="4" w:space="0"/>
              <w:right w:val="single" w:color="000000" w:sz="4" w:space="0"/>
            </w:tcBorders>
            <w:tcW w:w="6830" w:type="dxa"/>
            <w:vAlign w:val="center"/>
            <w:textDirection w:val="lrTb"/>
            <w:noWrap w:val="false"/>
          </w:tcPr>
          <w:p>
            <w:pPr>
              <w:pStyle w:val="903"/>
              <w:rPr>
                <w:iCs/>
                <w:color w:val="000000"/>
                <w:highlight w:val="yellow"/>
              </w:rPr>
            </w:pPr>
            <w:r>
              <w:rPr>
                <w:iCs/>
                <w:color w:val="000000"/>
              </w:rPr>
              <w:t xml:space="preserve">IPS吞吐量≥3Gbps，AV吞吐量≥1.5Gbps，</w:t>
            </w:r>
            <w:r>
              <w:rPr>
                <w:iCs/>
                <w:color w:val="000000"/>
                <w:highlight w:val="yellow"/>
              </w:rPr>
            </w:r>
            <w:r/>
          </w:p>
        </w:tc>
      </w:tr>
      <w:tr>
        <w:trPr>
          <w:cantSplit/>
          <w:trHeight w:val="325"/>
        </w:trPr>
        <w:tc>
          <w:tcPr>
            <w:tcW w:w="1608" w:type="dxa"/>
            <w:vAlign w:val="center"/>
            <w:vMerge w:val="continue"/>
            <w:textDirection w:val="lrTb"/>
            <w:noWrap w:val="false"/>
          </w:tcPr>
          <w:p>
            <w:pPr>
              <w:pStyle w:val="903"/>
              <w:rPr>
                <w:i/>
                <w:iCs/>
                <w:color w:val="000000"/>
                <w:u w:val="single"/>
              </w:rPr>
            </w:pPr>
            <w:r>
              <w:rPr>
                <w:i/>
                <w:iCs/>
                <w:color w:val="000000"/>
                <w:u w:val="single"/>
              </w:rPr>
            </w:r>
            <w:r/>
          </w:p>
        </w:tc>
        <w:tc>
          <w:tcPr>
            <w:tcBorders>
              <w:top w:val="none" w:color="000000" w:sz="4" w:space="0"/>
              <w:left w:val="none" w:color="000000" w:sz="4" w:space="0"/>
              <w:bottom w:val="single" w:color="000000" w:sz="4" w:space="0"/>
              <w:right w:val="single" w:color="000000" w:sz="4" w:space="0"/>
            </w:tcBorders>
            <w:tcW w:w="6830" w:type="dxa"/>
            <w:vAlign w:val="center"/>
            <w:textDirection w:val="lrTb"/>
            <w:noWrap w:val="false"/>
          </w:tcPr>
          <w:p>
            <w:pPr>
              <w:pStyle w:val="903"/>
              <w:rPr>
                <w:iCs/>
                <w:color w:val="000000"/>
              </w:rPr>
            </w:pPr>
            <w:r>
              <w:rPr>
                <w:iCs/>
                <w:color w:val="000000"/>
              </w:rPr>
              <w:t xml:space="preserve">IPv6并发连接数≥30万，IPSec隧道数≥2000个，IPsec VPN吞吐量≥2.5Gbps，并发SSL VPN用户≥6个</w:t>
            </w:r>
            <w:r/>
          </w:p>
        </w:tc>
      </w:tr>
      <w:tr>
        <w:trPr>
          <w:cantSplit/>
          <w:trHeight w:val="1216"/>
        </w:trPr>
        <w:tc>
          <w:tcPr>
            <w:tcW w:w="1608" w:type="dxa"/>
            <w:vAlign w:val="center"/>
            <w:vMerge w:val="restart"/>
            <w:textDirection w:val="lrTb"/>
            <w:noWrap w:val="false"/>
          </w:tcPr>
          <w:p>
            <w:pPr>
              <w:pStyle w:val="903"/>
              <w:rPr>
                <w:color w:val="000000"/>
              </w:rPr>
            </w:pPr>
            <w:r>
              <w:rPr>
                <w:color w:val="000000"/>
              </w:rPr>
              <w:t xml:space="preserve">网络适应性</w:t>
            </w:r>
            <w:r/>
          </w:p>
        </w:tc>
        <w:tc>
          <w:tcPr>
            <w:tcW w:w="6830" w:type="dxa"/>
            <w:vAlign w:val="center"/>
            <w:textDirection w:val="lrTb"/>
            <w:noWrap w:val="false"/>
          </w:tcPr>
          <w:p>
            <w:pPr>
              <w:pStyle w:val="903"/>
              <w:rPr>
                <w:color w:val="000000"/>
              </w:rPr>
            </w:pPr>
            <w:r>
              <w:rPr>
                <w:color w:val="000000"/>
              </w:rPr>
              <w:t xml:space="preserve">支持透明、路由、混合、直连（虚拟线）模式</w:t>
            </w:r>
            <w:r/>
          </w:p>
          <w:p>
            <w:pPr>
              <w:pStyle w:val="903"/>
              <w:rPr>
                <w:color w:val="000000"/>
              </w:rPr>
            </w:pPr>
            <w:r>
              <w:rPr>
                <w:color w:val="000000"/>
              </w:rPr>
              <w:t xml:space="preserve">支持对3000 种应用的识别和控制</w:t>
            </w:r>
            <w:r/>
          </w:p>
          <w:p>
            <w:pPr>
              <w:pStyle w:val="903"/>
              <w:rPr>
                <w:color w:val="000000"/>
              </w:rPr>
            </w:pPr>
            <w:r>
              <w:rPr>
                <w:color w:val="000000"/>
              </w:rPr>
              <w:t xml:space="preserve">支持静态路由、ISP路由，OSPF、BGP、RIP、ISIS、策略路由，策略路由支持基于应用协议的路由功能，根据应用类型进行路由选择</w:t>
            </w:r>
            <w:r/>
          </w:p>
        </w:tc>
      </w:tr>
      <w:tr>
        <w:trPr>
          <w:cantSplit/>
          <w:trHeight w:val="868"/>
        </w:trPr>
        <w:tc>
          <w:tcPr>
            <w:tcW w:w="1608" w:type="dxa"/>
            <w:vAlign w:val="center"/>
            <w:vMerge w:val="continue"/>
            <w:textDirection w:val="lrTb"/>
            <w:noWrap w:val="false"/>
          </w:tcPr>
          <w:p>
            <w:pPr>
              <w:pStyle w:val="903"/>
              <w:rPr>
                <w:color w:val="000000"/>
              </w:rPr>
            </w:pPr>
            <w:r>
              <w:rPr>
                <w:color w:val="000000"/>
              </w:rPr>
            </w:r>
            <w:r/>
          </w:p>
        </w:tc>
        <w:tc>
          <w:tcPr>
            <w:tcW w:w="6830" w:type="dxa"/>
            <w:vAlign w:val="center"/>
            <w:textDirection w:val="lrTb"/>
            <w:noWrap w:val="false"/>
          </w:tcPr>
          <w:p>
            <w:pPr>
              <w:pStyle w:val="903"/>
              <w:rPr>
                <w:color w:val="000000"/>
              </w:rPr>
            </w:pPr>
            <w:r>
              <w:rPr>
                <w:color w:val="000000"/>
              </w:rPr>
              <w:t xml:space="preserve">支持基于源地址、目的地址、生效时间、应用协议（http、https、mysql、ms-sql、sqlnet、sip等）限制新建连接、并发连接</w:t>
            </w:r>
            <w:r/>
          </w:p>
          <w:p>
            <w:pPr>
              <w:pStyle w:val="903"/>
              <w:rPr>
                <w:color w:val="000000"/>
              </w:rPr>
            </w:pPr>
            <w:r>
              <w:rPr>
                <w:color w:val="000000"/>
              </w:rPr>
              <w:t xml:space="preserve">支持把同一类型的策略通过聚合策略或者策略组的功能进行统一管理；支持策略命中数统计、冗余策略检测功能；支持通过策略助手功能帮助管理员自动生成安全策略。</w:t>
            </w:r>
            <w:r/>
          </w:p>
        </w:tc>
      </w:tr>
      <w:tr>
        <w:trPr>
          <w:trHeight w:val="977"/>
        </w:trPr>
        <w:tc>
          <w:tcPr>
            <w:tcW w:w="1608" w:type="dxa"/>
            <w:vAlign w:val="center"/>
            <w:textDirection w:val="lrTb"/>
            <w:noWrap w:val="false"/>
          </w:tcPr>
          <w:p>
            <w:pPr>
              <w:pStyle w:val="903"/>
              <w:rPr>
                <w:color w:val="000000"/>
              </w:rPr>
            </w:pPr>
            <w:r>
              <w:rPr>
                <w:color w:val="000000"/>
              </w:rPr>
              <w:t xml:space="preserve">NAT功能</w:t>
            </w:r>
            <w:r/>
          </w:p>
        </w:tc>
        <w:tc>
          <w:tcPr>
            <w:tcW w:w="6830" w:type="dxa"/>
            <w:vAlign w:val="center"/>
            <w:textDirection w:val="lrTb"/>
            <w:noWrap w:val="false"/>
          </w:tcPr>
          <w:p>
            <w:pPr>
              <w:pStyle w:val="903"/>
              <w:rPr>
                <w:color w:val="000000"/>
              </w:rPr>
            </w:pPr>
            <w:r>
              <w:rPr>
                <w:color w:val="000000"/>
              </w:rPr>
              <w:t xml:space="preserve">支持多对一、多对多的NAT地址转换，且公网地址池可选择逐一使用和同时使用两种模式。</w:t>
            </w:r>
            <w:r/>
          </w:p>
          <w:p>
            <w:pPr>
              <w:pStyle w:val="903"/>
              <w:rPr>
                <w:color w:val="000000"/>
              </w:rPr>
            </w:pPr>
            <w:r>
              <w:rPr>
                <w:color w:val="000000"/>
              </w:rPr>
              <w:t xml:space="preserve">支持NAT公网地址池中IP有效性检测，避免因NAT地址无法使用导致业务中断。</w:t>
            </w:r>
            <w:r/>
          </w:p>
        </w:tc>
      </w:tr>
      <w:tr>
        <w:trPr>
          <w:trHeight w:val="693"/>
        </w:trPr>
        <w:tc>
          <w:tcPr>
            <w:tcW w:w="1608" w:type="dxa"/>
            <w:vAlign w:val="center"/>
            <w:textDirection w:val="lrTb"/>
            <w:noWrap w:val="false"/>
          </w:tcPr>
          <w:p>
            <w:pPr>
              <w:pStyle w:val="903"/>
              <w:rPr>
                <w:color w:val="000000"/>
              </w:rPr>
            </w:pPr>
            <w:r>
              <w:rPr>
                <w:color w:val="000000"/>
              </w:rPr>
              <w:t xml:space="preserve">攻击防护</w:t>
            </w:r>
            <w:r/>
          </w:p>
        </w:tc>
        <w:tc>
          <w:tcPr>
            <w:tcW w:w="6830" w:type="dxa"/>
            <w:vAlign w:val="center"/>
            <w:textDirection w:val="lrTb"/>
            <w:noWrap w:val="false"/>
          </w:tcPr>
          <w:p>
            <w:pPr>
              <w:pStyle w:val="903"/>
              <w:rPr>
                <w:color w:val="000000"/>
              </w:rPr>
            </w:pPr>
            <w:r>
              <w:rPr>
                <w:color w:val="000000"/>
              </w:rPr>
              <w:t xml:space="preserve">支持SYN Flood、ICMP Flood、UDP Flood、DNS Flood、ARP Flood攻击防护，支持IP地址扫描，端口扫描防护，支持欺骗防护功能、支持IP协议异常报文检测和TCP协议异常报文检测</w:t>
            </w:r>
            <w:r/>
          </w:p>
        </w:tc>
      </w:tr>
      <w:tr>
        <w:trPr>
          <w:trHeight w:val="2214"/>
        </w:trPr>
        <w:tc>
          <w:tcPr>
            <w:tcW w:w="1608" w:type="dxa"/>
            <w:vAlign w:val="center"/>
            <w:textDirection w:val="lrTb"/>
            <w:noWrap w:val="false"/>
          </w:tcPr>
          <w:p>
            <w:pPr>
              <w:pStyle w:val="903"/>
              <w:rPr>
                <w:color w:val="000000"/>
              </w:rPr>
            </w:pPr>
            <w:r>
              <w:rPr>
                <w:color w:val="000000"/>
              </w:rPr>
              <w:t xml:space="preserve">入侵防御</w:t>
            </w:r>
            <w:r/>
          </w:p>
        </w:tc>
        <w:tc>
          <w:tcPr>
            <w:tcW w:w="6830" w:type="dxa"/>
            <w:vAlign w:val="center"/>
            <w:textDirection w:val="lrTb"/>
            <w:noWrap w:val="false"/>
          </w:tcPr>
          <w:p>
            <w:pPr>
              <w:pStyle w:val="903"/>
              <w:rPr>
                <w:color w:val="000000"/>
              </w:rPr>
            </w:pPr>
            <w:r>
              <w:rPr>
                <w:color w:val="000000"/>
              </w:rPr>
              <w:t xml:space="preserve">具备2400种以上攻击特征库规则列表，并可自定义特征库，设备具备CVE漏洞防护能力（提供兼容CVE证书）</w:t>
            </w:r>
            <w:r/>
          </w:p>
          <w:p>
            <w:pPr>
              <w:pStyle w:val="903"/>
              <w:rPr>
                <w:color w:val="000000"/>
              </w:rPr>
            </w:pPr>
            <w:r>
              <w:rPr>
                <w:color w:val="000000"/>
              </w:rPr>
              <w:t xml:space="preserve">支持缓冲区溢出、SQL注入和跨站脚本攻击的检测和防护,支持专业的Web Server防护功能，含CC攻击防护和外链防护等</w:t>
            </w:r>
            <w:r/>
          </w:p>
          <w:p>
            <w:pPr>
              <w:pStyle w:val="903"/>
              <w:rPr>
                <w:color w:val="000000"/>
              </w:rPr>
            </w:pPr>
            <w:r>
              <w:rPr>
                <w:color w:val="000000"/>
              </w:rPr>
              <w:t xml:space="preserve">支持旁路和在线两种模式，支持基于安全策略和安全域启用IPS功能，可在不同的攻击方向上启用IPS（至少支持流入\流出\双向等方向）</w:t>
            </w:r>
            <w:r/>
          </w:p>
          <w:p>
            <w:pPr>
              <w:pStyle w:val="903"/>
              <w:rPr>
                <w:color w:val="000000"/>
              </w:rPr>
            </w:pPr>
            <w:r>
              <w:rPr>
                <w:color w:val="000000"/>
              </w:rPr>
              <w:t xml:space="preserve">支持源/目的IP地址、特征ID白名单</w:t>
            </w:r>
            <w:r/>
          </w:p>
        </w:tc>
      </w:tr>
      <w:tr>
        <w:trPr>
          <w:trHeight w:val="1102"/>
        </w:trPr>
        <w:tc>
          <w:tcPr>
            <w:tcW w:w="1608" w:type="dxa"/>
            <w:vAlign w:val="center"/>
            <w:textDirection w:val="lrTb"/>
            <w:noWrap w:val="false"/>
          </w:tcPr>
          <w:p>
            <w:pPr>
              <w:pStyle w:val="903"/>
              <w:rPr>
                <w:color w:val="000000"/>
              </w:rPr>
            </w:pPr>
            <w:r>
              <w:rPr>
                <w:color w:val="000000"/>
              </w:rPr>
              <w:t xml:space="preserve">病毒过滤</w:t>
            </w:r>
            <w:r/>
          </w:p>
        </w:tc>
        <w:tc>
          <w:tcPr>
            <w:tcW w:w="6830" w:type="dxa"/>
            <w:vAlign w:val="center"/>
            <w:textDirection w:val="lrTb"/>
            <w:noWrap w:val="false"/>
          </w:tcPr>
          <w:p>
            <w:pPr>
              <w:pStyle w:val="903"/>
            </w:pPr>
            <w:r>
              <w:rPr>
                <w:color w:val="000000"/>
              </w:rPr>
              <w:t xml:space="preserve">支持对HTTP、SMTP、POP3、IMAP4、FTP、SMB协议传输的文件进行病毒扫描，不少于100万病毒特征库</w:t>
            </w:r>
            <w:r/>
          </w:p>
          <w:p>
            <w:pPr>
              <w:pStyle w:val="903"/>
              <w:rPr>
                <w:color w:val="000000"/>
              </w:rPr>
            </w:pPr>
            <w:r>
              <w:rPr>
                <w:color w:val="000000"/>
              </w:rPr>
              <w:t xml:space="preserve">支持用户手动添加MD5特征码到AV病毒库中，也可以手动清除该特征码。</w:t>
            </w:r>
            <w:r/>
          </w:p>
        </w:tc>
      </w:tr>
      <w:tr>
        <w:trPr>
          <w:trHeight w:val="1941"/>
        </w:trPr>
        <w:tc>
          <w:tcPr>
            <w:tcW w:w="1608" w:type="dxa"/>
            <w:vAlign w:val="center"/>
            <w:textDirection w:val="lrTb"/>
            <w:noWrap w:val="false"/>
          </w:tcPr>
          <w:p>
            <w:pPr>
              <w:pStyle w:val="903"/>
              <w:rPr>
                <w:color w:val="000000"/>
              </w:rPr>
            </w:pPr>
            <w:r>
              <w:rPr>
                <w:color w:val="000000"/>
              </w:rPr>
              <w:t xml:space="preserve">数据安全</w:t>
            </w:r>
            <w:r/>
          </w:p>
        </w:tc>
        <w:tc>
          <w:tcPr>
            <w:tcW w:w="6830" w:type="dxa"/>
            <w:vAlign w:val="center"/>
            <w:textDirection w:val="lrTb"/>
            <w:noWrap w:val="false"/>
          </w:tcPr>
          <w:p>
            <w:pPr>
              <w:pStyle w:val="903"/>
              <w:rPr>
                <w:color w:val="000000"/>
              </w:rPr>
            </w:pPr>
            <w:r>
              <w:rPr>
                <w:color w:val="000000"/>
              </w:rPr>
              <w:t xml:space="preserve">支持HTTP、FTP、SMTP、POP3、IMAP、SMB等协议设置文件过滤</w:t>
            </w:r>
            <w:r/>
          </w:p>
          <w:p>
            <w:pPr>
              <w:pStyle w:val="903"/>
              <w:rPr>
                <w:color w:val="000000"/>
              </w:rPr>
            </w:pPr>
            <w:r>
              <w:rPr>
                <w:color w:val="000000"/>
              </w:rPr>
              <w:t xml:space="preserve">支持基于文件类型、文件大小、文件名称进行数据传输安全控制，其中文件类型不少于100种</w:t>
            </w:r>
            <w:r/>
          </w:p>
          <w:p>
            <w:pPr>
              <w:pStyle w:val="903"/>
              <w:rPr>
                <w:color w:val="000000"/>
              </w:rPr>
            </w:pPr>
            <w:r>
              <w:rPr>
                <w:color w:val="000000"/>
              </w:rPr>
              <w:t xml:space="preserve">支持对网页关键字、Web外发信息、邮件过滤、应用行为控制等内容进行过滤</w:t>
            </w:r>
            <w:r/>
          </w:p>
          <w:p>
            <w:pPr>
              <w:pStyle w:val="903"/>
              <w:rPr>
                <w:color w:val="000000"/>
              </w:rPr>
            </w:pPr>
            <w:r>
              <w:rPr>
                <w:color w:val="000000"/>
              </w:rPr>
              <w:t xml:space="preserve">支持新浪微博、微信UID和QQ虚拟身份的识别及相关上网行为的审计记录</w:t>
            </w:r>
            <w:r/>
          </w:p>
        </w:tc>
      </w:tr>
      <w:tr>
        <w:trPr>
          <w:trHeight w:val="1102"/>
        </w:trPr>
        <w:tc>
          <w:tcPr>
            <w:tcW w:w="1608" w:type="dxa"/>
            <w:vAlign w:val="center"/>
            <w:textDirection w:val="lrTb"/>
            <w:noWrap w:val="false"/>
          </w:tcPr>
          <w:p>
            <w:pPr>
              <w:pStyle w:val="903"/>
              <w:rPr>
                <w:color w:val="000000"/>
              </w:rPr>
            </w:pPr>
            <w:r>
              <w:rPr>
                <w:color w:val="000000"/>
              </w:rPr>
              <w:t xml:space="preserve">SSL解密</w:t>
            </w:r>
            <w:r/>
          </w:p>
        </w:tc>
        <w:tc>
          <w:tcPr>
            <w:tcW w:w="6830" w:type="dxa"/>
            <w:vAlign w:val="center"/>
            <w:textDirection w:val="lrTb"/>
            <w:noWrap w:val="false"/>
          </w:tcPr>
          <w:p>
            <w:pPr>
              <w:pStyle w:val="903"/>
              <w:rPr>
                <w:color w:val="000000"/>
              </w:rPr>
            </w:pPr>
            <w:r>
              <w:rPr>
                <w:color w:val="000000"/>
              </w:rPr>
              <w:t xml:space="preserve">支持基于客户端、服务端流量检查功能；支持基于HTTPS/SMTPS/POP3S/IMAPS协议的应用解密功能</w:t>
            </w:r>
            <w:r/>
          </w:p>
          <w:p>
            <w:pPr>
              <w:pStyle w:val="903"/>
              <w:rPr>
                <w:color w:val="000000"/>
              </w:rPr>
            </w:pPr>
            <w:r>
              <w:rPr>
                <w:color w:val="000000"/>
              </w:rPr>
              <w:t xml:space="preserve">支持基于URL分类设置白名单；提供SSL代理根证书供PC端使用，以消除浏览器告警提示，并能在浏览器上弹出下载提示。</w:t>
            </w:r>
            <w:r/>
          </w:p>
        </w:tc>
      </w:tr>
      <w:tr>
        <w:trPr>
          <w:trHeight w:val="1780"/>
        </w:trPr>
        <w:tc>
          <w:tcPr>
            <w:tcW w:w="1608" w:type="dxa"/>
            <w:vAlign w:val="center"/>
            <w:textDirection w:val="lrTb"/>
            <w:noWrap w:val="false"/>
          </w:tcPr>
          <w:p>
            <w:pPr>
              <w:pStyle w:val="903"/>
              <w:rPr>
                <w:color w:val="000000"/>
              </w:rPr>
            </w:pPr>
            <w:r>
              <w:rPr>
                <w:color w:val="000000"/>
              </w:rPr>
              <w:t xml:space="preserve">管理功能</w:t>
            </w:r>
            <w:r/>
          </w:p>
        </w:tc>
        <w:tc>
          <w:tcPr>
            <w:tcW w:w="6830" w:type="dxa"/>
            <w:vAlign w:val="center"/>
            <w:textDirection w:val="lrTb"/>
            <w:noWrap w:val="false"/>
          </w:tcPr>
          <w:p>
            <w:pPr>
              <w:pStyle w:val="903"/>
              <w:rPr>
                <w:color w:val="000000"/>
              </w:rPr>
            </w:pPr>
            <w:r>
              <w:rPr>
                <w:color w:val="000000"/>
              </w:rPr>
              <w:t xml:space="preserve">基于应用/角色/国家地理IP的安全策略</w:t>
            </w:r>
            <w:r/>
          </w:p>
          <w:p>
            <w:pPr>
              <w:pStyle w:val="903"/>
              <w:rPr>
                <w:color w:val="000000"/>
              </w:rPr>
            </w:pPr>
            <w:r>
              <w:rPr>
                <w:color w:val="000000"/>
              </w:rPr>
              <w:t xml:space="preserve">支持链路状态监控，可以查看链路的延迟、丢包率、抖动信息，可查看指定应用/应用组详情，支持选择多条链路进行对比分析</w:t>
            </w:r>
            <w:r/>
          </w:p>
          <w:p>
            <w:pPr>
              <w:pStyle w:val="903"/>
              <w:rPr>
                <w:color w:val="000000"/>
              </w:rPr>
            </w:pPr>
            <w:r>
              <w:rPr>
                <w:color w:val="000000"/>
              </w:rPr>
              <w:t xml:space="preserve">支持数据包路径检测工具通过在线检测、模拟检测等检测手段，WEB界面图形化展现数据包经过的每个防火墙功能模块的处理过程，以便快速定位异常功能模块</w:t>
            </w:r>
            <w:r/>
          </w:p>
        </w:tc>
      </w:tr>
      <w:tr>
        <w:trPr>
          <w:trHeight w:val="337"/>
        </w:trPr>
        <w:tc>
          <w:tcPr>
            <w:tcW w:w="1608" w:type="dxa"/>
            <w:vAlign w:val="center"/>
            <w:textDirection w:val="lrTb"/>
            <w:noWrap w:val="false"/>
          </w:tcPr>
          <w:p>
            <w:pPr>
              <w:pStyle w:val="903"/>
              <w:rPr>
                <w:color w:val="000000"/>
              </w:rPr>
            </w:pPr>
            <w:r>
              <w:rPr>
                <w:color w:val="000000"/>
              </w:rPr>
              <w:t xml:space="preserve">资质要求</w:t>
            </w:r>
            <w:r/>
          </w:p>
        </w:tc>
        <w:tc>
          <w:tcPr>
            <w:tcW w:w="6830" w:type="dxa"/>
            <w:vAlign w:val="top"/>
            <w:textDirection w:val="lrTb"/>
            <w:noWrap w:val="false"/>
          </w:tcPr>
          <w:p>
            <w:pPr>
              <w:pStyle w:val="903"/>
              <w:rPr>
                <w:color w:val="000000"/>
              </w:rPr>
            </w:pPr>
            <w:r>
              <w:rPr>
                <w:rFonts w:hint="eastAsia" w:ascii="宋体" w:hAnsi="宋体" w:cs="宋体"/>
                <w:color w:val="000000"/>
              </w:rPr>
              <w:t xml:space="preserve">★</w:t>
            </w:r>
            <w:r>
              <w:rPr>
                <w:color w:val="000000"/>
              </w:rPr>
              <w:t xml:space="preserve">防雷击，必须通过国家无线电监测中心检测中心浪涌（冲击）抗扰度（4KV）测试项目，并出具国家无线电监测中心检测中心委托测试报告。（提供测试报告）</w:t>
            </w:r>
            <w:r/>
          </w:p>
        </w:tc>
      </w:tr>
      <w:tr>
        <w:trPr>
          <w:trHeight w:val="165"/>
        </w:trPr>
        <w:tc>
          <w:tcPr>
            <w:tcW w:w="1608" w:type="dxa"/>
            <w:vAlign w:val="center"/>
            <w:textDirection w:val="lrTb"/>
            <w:noWrap w:val="false"/>
          </w:tcPr>
          <w:p>
            <w:pPr>
              <w:pStyle w:val="903"/>
              <w:rPr>
                <w:b/>
                <w:i/>
                <w:iCs/>
                <w:color w:val="000000"/>
                <w:u w:val="single"/>
              </w:rPr>
            </w:pPr>
            <w:r>
              <w:rPr>
                <w:b/>
                <w:i/>
                <w:iCs/>
                <w:color w:val="000000"/>
                <w:u w:val="single"/>
              </w:rPr>
              <w:t xml:space="preserve">售后服务</w:t>
            </w:r>
            <w:r/>
          </w:p>
        </w:tc>
        <w:tc>
          <w:tcPr>
            <w:tcW w:w="6830" w:type="dxa"/>
            <w:vAlign w:val="center"/>
            <w:textDirection w:val="lrTb"/>
            <w:noWrap/>
          </w:tcPr>
          <w:p>
            <w:pPr>
              <w:pStyle w:val="903"/>
              <w:rPr>
                <w:b/>
                <w:i/>
                <w:iCs/>
                <w:color w:val="000000"/>
                <w:u w:val="single"/>
                <w:lang w:eastAsia="en-US"/>
              </w:rPr>
            </w:pPr>
            <w:r>
              <w:rPr>
                <w:b/>
                <w:i/>
                <w:iCs/>
                <w:color w:val="000000"/>
                <w:u w:val="single"/>
                <w:lang w:eastAsia="en-US"/>
              </w:rPr>
              <w:t xml:space="preserve">提供</w:t>
            </w:r>
            <w:r>
              <w:rPr>
                <w:b/>
                <w:i/>
                <w:iCs/>
                <w:color w:val="000000"/>
                <w:u w:val="single"/>
              </w:rPr>
              <w:t xml:space="preserve">项目服务期内的</w:t>
            </w:r>
            <w:r>
              <w:rPr>
                <w:b/>
                <w:i/>
                <w:iCs/>
                <w:color w:val="000000"/>
                <w:u w:val="single"/>
                <w:lang w:eastAsia="en-US"/>
              </w:rPr>
              <w:t xml:space="preserve">硬件质保及软件升级服务</w:t>
            </w:r>
            <w:r/>
          </w:p>
        </w:tc>
      </w:tr>
    </w:tbl>
    <w:p>
      <w:pPr>
        <w:pStyle w:val="907"/>
        <w:numPr>
          <w:ilvl w:val="0"/>
          <w:numId w:val="7"/>
        </w:numPr>
        <w:spacing w:before="0" w:after="0" w:line="360" w:lineRule="auto"/>
        <w:rPr>
          <w:rFonts w:ascii="Times New Roman" w:hAnsi="Times New Roman"/>
          <w:color w:val="000000"/>
        </w:rPr>
      </w:pPr>
      <w:r>
        <w:rPr>
          <w:rFonts w:ascii="Times New Roman" w:hAnsi="Times New Roman"/>
          <w:color w:val="000000"/>
        </w:rPr>
        <w:t xml:space="preserve">业务线路</w:t>
      </w:r>
      <w:r/>
    </w:p>
    <w:tbl>
      <w:tblPr>
        <w:tblW w:w="8895" w:type="dxa"/>
        <w:tblInd w:w="93" w:type="dxa"/>
        <w:tblLayout w:type="autofit"/>
        <w:tblCellMar>
          <w:left w:w="108" w:type="dxa"/>
          <w:top w:w="0" w:type="dxa"/>
          <w:right w:w="108" w:type="dxa"/>
          <w:bottom w:w="0" w:type="dxa"/>
        </w:tblCellMar>
        <w:tblLook w:val="04A0" w:firstRow="1" w:lastRow="0" w:firstColumn="1" w:lastColumn="0" w:noHBand="0" w:noVBand="1"/>
      </w:tblPr>
      <w:tblGrid>
        <w:gridCol w:w="870"/>
        <w:gridCol w:w="3398"/>
        <w:gridCol w:w="3402"/>
        <w:gridCol w:w="1225"/>
      </w:tblGrid>
      <w:tr>
        <w:trPr>
          <w:trHeight w:val="285"/>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3"/>
              <w:jc w:val="center"/>
              <w:widowControl/>
              <w:rPr>
                <w:b/>
                <w:bCs/>
                <w:color w:val="000000"/>
              </w:rPr>
            </w:pPr>
            <w:r>
              <w:rPr>
                <w:b/>
                <w:bCs/>
                <w:color w:val="000000"/>
                <w:lang w:bidi="ar"/>
              </w:rPr>
              <w:t xml:space="preserve">序号</w:t>
            </w:r>
            <w:r>
              <w:rPr>
                <w:b/>
                <w:bCs/>
                <w:color w:val="000000"/>
              </w:rPr>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val="false"/>
          </w:tcPr>
          <w:p>
            <w:pPr>
              <w:pStyle w:val="903"/>
              <w:jc w:val="center"/>
              <w:widowControl/>
              <w:rPr>
                <w:b/>
                <w:bCs/>
                <w:color w:val="000000"/>
              </w:rPr>
            </w:pPr>
            <w:r>
              <w:rPr>
                <w:b/>
                <w:bCs/>
                <w:color w:val="000000"/>
                <w:lang w:bidi="ar"/>
              </w:rPr>
              <w:t xml:space="preserve">地址A</w:t>
            </w:r>
            <w:r>
              <w:rPr>
                <w:b/>
                <w:bCs/>
                <w:color w:val="000000"/>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03"/>
              <w:jc w:val="center"/>
              <w:widowControl/>
              <w:rPr>
                <w:b/>
                <w:bCs/>
                <w:color w:val="000000"/>
              </w:rPr>
            </w:pPr>
            <w:r>
              <w:rPr>
                <w:b/>
                <w:bCs/>
                <w:color w:val="000000"/>
                <w:lang w:bidi="ar"/>
              </w:rPr>
              <w:t xml:space="preserve">地址B</w:t>
            </w:r>
            <w:r>
              <w:rPr>
                <w:b/>
                <w:bCs/>
                <w:color w:val="000000"/>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903"/>
              <w:jc w:val="center"/>
              <w:widowControl/>
              <w:rPr>
                <w:b/>
                <w:bCs/>
                <w:color w:val="000000"/>
              </w:rPr>
            </w:pPr>
            <w:r>
              <w:rPr>
                <w:b/>
                <w:bCs/>
                <w:color w:val="000000"/>
                <w:lang w:bidi="ar"/>
              </w:rPr>
              <w:t xml:space="preserve">速率</w:t>
            </w:r>
            <w:r>
              <w:rPr>
                <w:b/>
                <w:bCs/>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3"/>
              <w:jc w:val="center"/>
              <w:widowControl/>
              <w:rPr>
                <w:b/>
                <w:bCs/>
                <w:color w:val="000000"/>
                <w:lang w:bidi="ar"/>
              </w:rPr>
            </w:pPr>
            <w:r>
              <w:rPr>
                <w:color w:val="000000"/>
                <w:lang w:bidi="ar"/>
              </w:rPr>
              <w:t xml:space="preserve">1</w:t>
            </w:r>
            <w:r>
              <w:rPr>
                <w:b/>
                <w:bCs/>
                <w:color w:val="000000"/>
                <w:lang w:bidi="ar"/>
              </w:rPr>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val="false"/>
          </w:tcPr>
          <w:p>
            <w:pPr>
              <w:pStyle w:val="903"/>
              <w:jc w:val="center"/>
              <w:widowControl/>
              <w:rPr>
                <w:b/>
                <w:bCs/>
                <w:color w:val="000000"/>
                <w:lang w:bidi="ar"/>
              </w:rPr>
            </w:pPr>
            <w:r>
              <w:rPr>
                <w:color w:val="000000"/>
                <w:lang w:bidi="ar"/>
              </w:rPr>
              <w:t xml:space="preserve">南京市鼓楼区江东北路176号</w:t>
            </w:r>
            <w:r>
              <w:rPr>
                <w:b/>
                <w:bCs/>
                <w:color w:val="000000"/>
                <w:lang w:bidi="ar"/>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03"/>
              <w:jc w:val="center"/>
              <w:widowControl/>
              <w:rPr>
                <w:b/>
                <w:bCs/>
                <w:color w:val="000000"/>
                <w:lang w:bidi="ar"/>
              </w:rPr>
            </w:pPr>
            <w:r>
              <w:rPr>
                <w:color w:val="000000"/>
                <w:lang w:bidi="ar"/>
              </w:rPr>
              <w:t xml:space="preserve">南京市建邺区江东中路49号二长机房</w:t>
            </w:r>
            <w:r>
              <w:rPr>
                <w:b/>
                <w:bCs/>
                <w:color w:val="000000"/>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903"/>
              <w:jc w:val="center"/>
              <w:widowControl/>
              <w:rPr>
                <w:b/>
                <w:bCs/>
                <w:color w:val="000000"/>
                <w:lang w:bidi="ar"/>
              </w:rPr>
            </w:pPr>
            <w:r>
              <w:rPr>
                <w:color w:val="000000"/>
                <w:lang w:bidi="ar"/>
              </w:rPr>
              <w:t xml:space="preserve">500M</w:t>
            </w:r>
            <w:r>
              <w:rPr>
                <w:b/>
                <w:bCs/>
                <w:color w:val="000000"/>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3"/>
              <w:jc w:val="center"/>
              <w:widowControl/>
              <w:rPr>
                <w:color w:val="000000"/>
              </w:rPr>
            </w:pPr>
            <w:r>
              <w:rPr>
                <w:color w:val="000000"/>
              </w:rPr>
              <w:t xml:space="preserve">2</w:t>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val="false"/>
          </w:tcPr>
          <w:p>
            <w:pPr>
              <w:pStyle w:val="903"/>
              <w:jc w:val="center"/>
              <w:widowControl/>
              <w:rPr>
                <w:color w:val="000000"/>
              </w:rPr>
            </w:pPr>
            <w:r>
              <w:rPr>
                <w:color w:val="000000"/>
                <w:lang w:bidi="ar"/>
              </w:rPr>
              <w:t xml:space="preserve">南京市鼓楼区江东北路176号</w:t>
            </w:r>
            <w:r>
              <w:rPr>
                <w:color w:val="000000"/>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03"/>
              <w:jc w:val="center"/>
              <w:widowControl/>
              <w:rPr>
                <w:color w:val="000000"/>
              </w:rPr>
            </w:pPr>
            <w:r>
              <w:rPr>
                <w:color w:val="000000"/>
                <w:lang w:bidi="ar"/>
              </w:rPr>
              <w:t xml:space="preserve">南京市建邺区中和路江苏省环境监测中心新大楼</w:t>
            </w:r>
            <w:r>
              <w:rPr>
                <w:color w:val="000000"/>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903"/>
              <w:jc w:val="center"/>
              <w:widowControl/>
              <w:rPr>
                <w:color w:val="000000"/>
              </w:rPr>
            </w:pPr>
            <w:r>
              <w:rPr>
                <w:color w:val="000000"/>
                <w:lang w:bidi="ar"/>
              </w:rPr>
              <w:t xml:space="preserve">200M</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3"/>
              <w:jc w:val="center"/>
              <w:widowControl/>
              <w:rPr>
                <w:color w:val="000000"/>
              </w:rPr>
            </w:pPr>
            <w:r>
              <w:rPr>
                <w:color w:val="000000"/>
                <w:lang w:bidi="ar"/>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val="false"/>
          </w:tcPr>
          <w:p>
            <w:pPr>
              <w:pStyle w:val="903"/>
              <w:jc w:val="center"/>
              <w:widowControl/>
              <w:rPr>
                <w:color w:val="000000"/>
              </w:rPr>
            </w:pPr>
            <w:r>
              <w:rPr>
                <w:color w:val="000000"/>
                <w:lang w:bidi="ar"/>
              </w:rPr>
              <w:t xml:space="preserve">南京市鼓楼区江东北路176号</w:t>
            </w:r>
            <w:r>
              <w:rPr>
                <w:color w:val="000000"/>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03"/>
              <w:jc w:val="center"/>
              <w:widowControl/>
              <w:rPr>
                <w:color w:val="000000"/>
              </w:rPr>
            </w:pPr>
            <w:r>
              <w:rPr>
                <w:color w:val="000000"/>
                <w:lang w:bidi="ar"/>
              </w:rPr>
              <w:t xml:space="preserve">南京市建邺区云龙山路75号辐射环保生产综合楼</w:t>
            </w:r>
            <w:r>
              <w:rPr>
                <w:color w:val="000000"/>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903"/>
              <w:jc w:val="center"/>
              <w:widowControl/>
              <w:rPr>
                <w:color w:val="000000"/>
              </w:rPr>
            </w:pPr>
            <w:r>
              <w:rPr>
                <w:color w:val="000000"/>
                <w:lang w:bidi="ar"/>
              </w:rPr>
              <w:t xml:space="preserve">200M</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3"/>
              <w:jc w:val="center"/>
              <w:widowControl/>
              <w:rPr>
                <w:color w:val="000000"/>
              </w:rPr>
            </w:pPr>
            <w:r>
              <w:rPr>
                <w:color w:val="000000"/>
              </w:rPr>
              <w:t xml:space="preserve">4</w:t>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val="false"/>
          </w:tcPr>
          <w:p>
            <w:pPr>
              <w:pStyle w:val="903"/>
              <w:jc w:val="center"/>
              <w:widowControl/>
              <w:rPr>
                <w:color w:val="000000"/>
              </w:rPr>
            </w:pPr>
            <w:r>
              <w:rPr>
                <w:color w:val="000000"/>
                <w:lang w:bidi="ar"/>
              </w:rPr>
              <w:t xml:space="preserve">南京市建邺区云龙山路75号辐射环保生产综合楼</w:t>
            </w:r>
            <w:r>
              <w:rPr>
                <w:color w:val="000000"/>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03"/>
              <w:jc w:val="center"/>
              <w:widowControl/>
              <w:rPr>
                <w:color w:val="000000"/>
              </w:rPr>
            </w:pPr>
            <w:r>
              <w:rPr>
                <w:color w:val="000000"/>
              </w:rPr>
              <w:t xml:space="preserve">镇江市句容桥头沙地行政村</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903"/>
              <w:jc w:val="center"/>
              <w:widowControl/>
              <w:rPr>
                <w:color w:val="000000"/>
              </w:rPr>
            </w:pPr>
            <w:r>
              <w:rPr>
                <w:color w:val="000000"/>
              </w:rPr>
              <w:t xml:space="preserve">100M</w:t>
            </w:r>
            <w:r/>
          </w:p>
        </w:tc>
      </w:tr>
      <w:tr>
        <w:trPr>
          <w:trHeight w:val="285"/>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3"/>
              <w:jc w:val="center"/>
              <w:widowControl/>
              <w:rPr>
                <w:color w:val="000000"/>
              </w:rPr>
            </w:pPr>
            <w:r>
              <w:rPr>
                <w:color w:val="000000"/>
                <w:lang w:bidi="ar"/>
              </w:rPr>
              <w:t xml:space="preserve">5</w:t>
            </w:r>
            <w:r>
              <w:rPr>
                <w:color w:val="000000"/>
              </w:rPr>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val="false"/>
          </w:tcPr>
          <w:p>
            <w:pPr>
              <w:pStyle w:val="903"/>
              <w:jc w:val="center"/>
              <w:widowControl/>
              <w:rPr>
                <w:color w:val="000000"/>
              </w:rPr>
            </w:pPr>
            <w:r>
              <w:rPr>
                <w:color w:val="000000"/>
                <w:lang w:bidi="ar"/>
              </w:rPr>
              <w:t xml:space="preserve">泰州市海陵区青年北路26号</w:t>
            </w:r>
            <w:r>
              <w:rPr>
                <w:color w:val="000000"/>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03"/>
              <w:jc w:val="center"/>
              <w:widowControl/>
              <w:rPr>
                <w:color w:val="000000"/>
              </w:rPr>
            </w:pPr>
            <w:r>
              <w:rPr>
                <w:color w:val="000000"/>
                <w:lang w:bidi="ar"/>
              </w:rPr>
              <w:t xml:space="preserve">泰州市海陵区永晖路18号</w:t>
            </w:r>
            <w:r>
              <w:rPr>
                <w:color w:val="000000"/>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903"/>
              <w:jc w:val="center"/>
              <w:widowControl/>
              <w:rPr>
                <w:color w:val="000000"/>
              </w:rPr>
            </w:pPr>
            <w:r>
              <w:rPr>
                <w:color w:val="000000"/>
                <w:lang w:bidi="ar"/>
              </w:rPr>
              <w:t xml:space="preserve">20M</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3"/>
              <w:jc w:val="center"/>
              <w:widowControl/>
              <w:rPr>
                <w:color w:val="000000"/>
                <w:lang w:bidi="ar"/>
              </w:rPr>
            </w:pPr>
            <w:r>
              <w:rPr>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val="false"/>
          </w:tcPr>
          <w:p>
            <w:pPr>
              <w:pStyle w:val="903"/>
              <w:jc w:val="center"/>
              <w:widowControl/>
              <w:rPr>
                <w:color w:val="000000"/>
                <w:lang w:bidi="ar"/>
              </w:rPr>
            </w:pPr>
            <w:r>
              <w:rPr>
                <w:color w:val="000000"/>
                <w:lang w:bidi="ar"/>
              </w:rPr>
              <w:t xml:space="preserve">淮安市清河区健康西路77号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03"/>
              <w:jc w:val="center"/>
              <w:widowControl/>
              <w:rPr>
                <w:color w:val="000000"/>
                <w:lang w:bidi="ar"/>
              </w:rPr>
            </w:pPr>
            <w:r>
              <w:rPr>
                <w:color w:val="000000"/>
                <w:lang w:bidi="ar"/>
              </w:rPr>
              <w:t xml:space="preserve">淮安市淮阴区盐运东路66号</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903"/>
              <w:jc w:val="center"/>
              <w:widowControl/>
              <w:rPr>
                <w:color w:val="000000"/>
                <w:lang w:bidi="ar"/>
              </w:rPr>
            </w:pPr>
            <w:r>
              <w:rPr>
                <w:color w:val="000000"/>
                <w:lang w:bidi="ar"/>
              </w:rPr>
              <w:t xml:space="preserve">20M</w:t>
            </w:r>
            <w:r/>
          </w:p>
        </w:tc>
      </w:tr>
      <w:tr>
        <w:trPr>
          <w:trHeight w:val="285"/>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3"/>
              <w:jc w:val="center"/>
              <w:widowControl/>
              <w:rPr>
                <w:color w:val="000000"/>
                <w:lang w:bidi="ar"/>
              </w:rPr>
            </w:pPr>
            <w:r>
              <w:rPr>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val="false"/>
          </w:tcPr>
          <w:p>
            <w:pPr>
              <w:pStyle w:val="903"/>
              <w:jc w:val="center"/>
              <w:widowControl/>
              <w:rPr>
                <w:color w:val="000000"/>
              </w:rPr>
            </w:pPr>
            <w:r>
              <w:rPr>
                <w:color w:val="000000"/>
                <w:lang w:bidi="ar"/>
              </w:rPr>
              <w:t xml:space="preserve">南京市建邺区云龙山路75号辐射环保生产综合楼</w:t>
            </w:r>
            <w:r>
              <w:rPr>
                <w:color w:val="000000"/>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03"/>
              <w:jc w:val="center"/>
              <w:widowControl/>
              <w:rPr>
                <w:color w:val="000000"/>
                <w:lang w:bidi="ar"/>
              </w:rPr>
            </w:pPr>
            <w:r>
              <w:rPr>
                <w:color w:val="000000"/>
                <w:lang w:bidi="ar"/>
              </w:rPr>
              <w:t xml:space="preserve">南京市鼓楼区江东北路176号</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903"/>
              <w:jc w:val="center"/>
              <w:widowControl/>
              <w:rPr>
                <w:color w:val="000000"/>
                <w:lang w:bidi="ar"/>
              </w:rPr>
            </w:pPr>
            <w:r>
              <w:rPr>
                <w:color w:val="000000"/>
                <w:lang w:bidi="ar"/>
              </w:rPr>
              <w:t xml:space="preserve">20M</w:t>
            </w:r>
            <w:r/>
          </w:p>
        </w:tc>
      </w:tr>
      <w:tr>
        <w:trPr>
          <w:trHeight w:val="285"/>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3"/>
              <w:jc w:val="center"/>
              <w:widowControl/>
              <w:rPr>
                <w:color w:val="000000"/>
                <w:lang w:bidi="ar"/>
              </w:rPr>
            </w:pPr>
            <w:r>
              <w:rPr>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val="false"/>
          </w:tcPr>
          <w:p>
            <w:pPr>
              <w:pStyle w:val="903"/>
              <w:jc w:val="center"/>
              <w:widowControl/>
              <w:rPr>
                <w:color w:val="000000"/>
                <w:lang w:bidi="ar"/>
              </w:rPr>
            </w:pPr>
            <w:r>
              <w:rPr>
                <w:color w:val="000000"/>
                <w:lang w:bidi="ar"/>
              </w:rPr>
              <w:t xml:space="preserve">南京市鼓楼区江东北路176号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03"/>
              <w:jc w:val="center"/>
              <w:widowControl/>
              <w:rPr>
                <w:color w:val="000000"/>
                <w:lang w:bidi="ar"/>
              </w:rPr>
            </w:pPr>
            <w:r>
              <w:rPr>
                <w:color w:val="000000"/>
                <w:lang w:bidi="ar"/>
              </w:rPr>
              <w:t xml:space="preserve">南京市建邺区江东中路49号二长机房</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903"/>
              <w:jc w:val="center"/>
              <w:widowControl/>
              <w:rPr>
                <w:color w:val="000000"/>
                <w:lang w:bidi="ar"/>
              </w:rPr>
            </w:pPr>
            <w:r>
              <w:rPr>
                <w:color w:val="000000"/>
                <w:lang w:bidi="ar"/>
              </w:rPr>
              <w:t xml:space="preserve">裸纤</w:t>
            </w:r>
            <w:r/>
          </w:p>
        </w:tc>
      </w:tr>
      <w:tr>
        <w:trPr>
          <w:trHeight w:val="285"/>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3"/>
              <w:jc w:val="center"/>
              <w:widowControl/>
              <w:rPr>
                <w:color w:val="000000"/>
                <w:lang w:bidi="ar"/>
              </w:rPr>
            </w:pPr>
            <w:r>
              <w:rPr>
                <w:color w:val="000000"/>
                <w:lang w:bidi="ar"/>
              </w:rPr>
              <w:t xml:space="preserve">9</w:t>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val="false"/>
          </w:tcPr>
          <w:p>
            <w:pPr>
              <w:pStyle w:val="903"/>
              <w:jc w:val="center"/>
              <w:widowControl/>
              <w:rPr>
                <w:color w:val="000000"/>
                <w:lang w:bidi="ar"/>
              </w:rPr>
            </w:pPr>
            <w:r>
              <w:rPr>
                <w:color w:val="000000"/>
                <w:lang w:bidi="ar"/>
              </w:rPr>
              <w:t xml:space="preserve">南京市鼓楼区江东北路176号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03"/>
              <w:jc w:val="center"/>
              <w:widowControl/>
              <w:rPr>
                <w:color w:val="000000"/>
                <w:lang w:bidi="ar"/>
              </w:rPr>
            </w:pPr>
            <w:r>
              <w:rPr>
                <w:color w:val="000000"/>
                <w:lang w:bidi="ar"/>
              </w:rPr>
              <w:t xml:space="preserve">南京市秦淮区升州路16号省交通运输厅</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903"/>
              <w:jc w:val="center"/>
              <w:widowControl/>
              <w:rPr>
                <w:color w:val="000000"/>
                <w:lang w:bidi="ar"/>
              </w:rPr>
            </w:pPr>
            <w:r>
              <w:rPr>
                <w:color w:val="000000"/>
                <w:lang w:bidi="ar"/>
              </w:rPr>
              <w:t xml:space="preserve">10M</w:t>
            </w:r>
            <w:r/>
          </w:p>
        </w:tc>
      </w:tr>
      <w:tr>
        <w:trPr>
          <w:trHeight w:val="305"/>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3"/>
              <w:jc w:val="center"/>
              <w:widowControl/>
              <w:rPr>
                <w:color w:val="000000"/>
                <w:lang w:bidi="ar"/>
              </w:rPr>
            </w:pPr>
            <w:r>
              <w:rPr>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3398" w:type="dxa"/>
            <w:vAlign w:val="center"/>
            <w:textDirection w:val="lrTb"/>
            <w:noWrap w:val="false"/>
          </w:tcPr>
          <w:p>
            <w:pPr>
              <w:pStyle w:val="903"/>
              <w:jc w:val="center"/>
              <w:widowControl/>
              <w:rPr>
                <w:color w:val="000000"/>
                <w:lang w:bidi="ar"/>
              </w:rPr>
            </w:pPr>
            <w:r>
              <w:rPr>
                <w:color w:val="000000"/>
                <w:lang w:bidi="ar"/>
              </w:rPr>
              <w:t xml:space="preserve">南京市鼓楼区江东北路176号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03"/>
              <w:jc w:val="center"/>
              <w:widowControl/>
              <w:rPr>
                <w:color w:val="000000"/>
                <w:lang w:bidi="ar"/>
              </w:rPr>
            </w:pPr>
            <w:r>
              <w:rPr>
                <w:color w:val="000000"/>
                <w:lang w:bidi="ar"/>
              </w:rPr>
              <w:t xml:space="preserve">南京市玄武区中央路2号</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903"/>
              <w:jc w:val="center"/>
              <w:widowControl/>
              <w:rPr>
                <w:color w:val="000000"/>
                <w:lang w:bidi="ar"/>
              </w:rPr>
            </w:pPr>
            <w:r>
              <w:rPr>
                <w:color w:val="000000"/>
                <w:lang w:bidi="ar"/>
              </w:rPr>
              <w:t xml:space="preserve">2M</w:t>
            </w:r>
            <w:r/>
          </w:p>
        </w:tc>
      </w:tr>
    </w:tbl>
    <w:p>
      <w:pPr>
        <w:pStyle w:val="918"/>
        <w:rPr>
          <w:color w:val="000000"/>
        </w:rPr>
      </w:pPr>
      <w:r>
        <w:rPr>
          <w:color w:val="000000"/>
        </w:rPr>
      </w:r>
      <w:r/>
    </w:p>
    <w:p>
      <w:pPr>
        <w:pStyle w:val="903"/>
        <w:ind w:firstLine="480"/>
        <w:rPr>
          <w:color w:val="000000"/>
          <w:sz w:val="24"/>
          <w:szCs w:val="24"/>
        </w:rPr>
      </w:pPr>
      <w:r>
        <w:rPr>
          <w:color w:val="000000"/>
          <w:sz w:val="24"/>
          <w:szCs w:val="24"/>
        </w:rPr>
        <w:t xml:space="preserve">电路故障及机房故障的响应时间：7×24小时实时响应；障碍修复时间小于4小时。</w:t>
      </w:r>
      <w:r/>
    </w:p>
    <w:tbl>
      <w:tblPr>
        <w:tblW w:w="9071" w:type="dxa"/>
        <w:tblInd w:w="9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01"/>
        <w:gridCol w:w="6651"/>
      </w:tblGrid>
      <w:tr>
        <w:trPr>
          <w:trHeight w:val="290"/>
        </w:trPr>
        <w:tc>
          <w:tcPr>
            <w:tcW w:w="719" w:type="dxa"/>
            <w:vAlign w:val="center"/>
            <w:textDirection w:val="lrTb"/>
            <w:noWrap w:val="false"/>
          </w:tcPr>
          <w:p>
            <w:pPr>
              <w:pStyle w:val="903"/>
              <w:jc w:val="center"/>
              <w:widowControl/>
              <w:rPr>
                <w:color w:val="000000"/>
                <w:lang w:bidi="ar"/>
              </w:rPr>
            </w:pPr>
            <w:r>
              <w:rPr>
                <w:color w:val="000000"/>
                <w:lang w:bidi="ar"/>
              </w:rPr>
              <w:t xml:space="preserve">序号</w:t>
            </w:r>
            <w:r/>
          </w:p>
        </w:tc>
        <w:tc>
          <w:tcPr>
            <w:tcW w:w="1701" w:type="dxa"/>
            <w:vAlign w:val="center"/>
            <w:textDirection w:val="lrTb"/>
            <w:noWrap w:val="false"/>
          </w:tcPr>
          <w:p>
            <w:pPr>
              <w:pStyle w:val="903"/>
              <w:jc w:val="center"/>
              <w:widowControl/>
              <w:rPr>
                <w:color w:val="000000"/>
                <w:lang w:bidi="ar"/>
              </w:rPr>
            </w:pPr>
            <w:r>
              <w:rPr>
                <w:color w:val="000000"/>
                <w:lang w:bidi="ar"/>
              </w:rPr>
              <w:t xml:space="preserve">业务种类</w:t>
            </w:r>
            <w:r/>
          </w:p>
        </w:tc>
        <w:tc>
          <w:tcPr>
            <w:tcW w:w="6651" w:type="dxa"/>
            <w:vAlign w:val="center"/>
            <w:textDirection w:val="lrTb"/>
            <w:noWrap w:val="false"/>
          </w:tcPr>
          <w:p>
            <w:pPr>
              <w:pStyle w:val="903"/>
              <w:jc w:val="center"/>
              <w:widowControl/>
              <w:rPr>
                <w:color w:val="000000"/>
                <w:lang w:bidi="ar"/>
              </w:rPr>
            </w:pPr>
            <w:r>
              <w:rPr>
                <w:color w:val="000000"/>
                <w:lang w:bidi="ar"/>
              </w:rPr>
              <w:t xml:space="preserve">技术规格、参数要求</w:t>
            </w:r>
            <w:r/>
          </w:p>
        </w:tc>
      </w:tr>
      <w:tr>
        <w:trPr>
          <w:cantSplit/>
          <w:trHeight w:val="1250"/>
        </w:trPr>
        <w:tc>
          <w:tcPr>
            <w:tcW w:w="719" w:type="dxa"/>
            <w:vAlign w:val="center"/>
            <w:textDirection w:val="lrTb"/>
            <w:noWrap/>
          </w:tcPr>
          <w:p>
            <w:pPr>
              <w:pStyle w:val="903"/>
              <w:jc w:val="center"/>
              <w:widowControl/>
              <w:rPr>
                <w:color w:val="000000"/>
                <w:lang w:bidi="ar"/>
              </w:rPr>
            </w:pPr>
            <w:r>
              <w:rPr>
                <w:color w:val="000000"/>
                <w:lang w:bidi="ar"/>
              </w:rPr>
              <w:t xml:space="preserve">1</w:t>
            </w:r>
            <w:r/>
          </w:p>
        </w:tc>
        <w:tc>
          <w:tcPr>
            <w:tcW w:w="1701" w:type="dxa"/>
            <w:vAlign w:val="center"/>
            <w:vMerge w:val="restart"/>
            <w:textDirection w:val="lrTb"/>
            <w:noWrap w:val="false"/>
          </w:tcPr>
          <w:p>
            <w:pPr>
              <w:pStyle w:val="903"/>
              <w:jc w:val="center"/>
              <w:widowControl/>
              <w:rPr>
                <w:color w:val="000000"/>
                <w:lang w:bidi="ar"/>
              </w:rPr>
            </w:pPr>
            <w:r>
              <w:rPr>
                <w:color w:val="000000"/>
                <w:lang w:bidi="ar"/>
              </w:rPr>
              <w:t xml:space="preserve">MSTP/OTN</w:t>
            </w:r>
            <w:r/>
          </w:p>
        </w:tc>
        <w:tc>
          <w:tcPr>
            <w:tcW w:w="6651" w:type="dxa"/>
            <w:vAlign w:val="top"/>
            <w:textDirection w:val="lrTb"/>
            <w:noWrap w:val="false"/>
          </w:tcPr>
          <w:p>
            <w:pPr>
              <w:pStyle w:val="903"/>
              <w:jc w:val="center"/>
              <w:widowControl/>
              <w:rPr>
                <w:color w:val="000000"/>
                <w:lang w:bidi="ar"/>
              </w:rPr>
            </w:pPr>
            <w:r>
              <w:rPr>
                <w:color w:val="000000"/>
                <w:lang w:bidi="ar"/>
              </w:rPr>
              <w:t xml:space="preserve">电路类型和带宽需求：基于SDH/MSTP/OTN技术，采用光传送网承载，提供安全、稳定、带宽独享的数字电路组网方式，提供端到端透明传输通道，必须与互联网完全物理隔离。</w:t>
            </w:r>
            <w:r/>
          </w:p>
        </w:tc>
      </w:tr>
      <w:tr>
        <w:trPr>
          <w:cantSplit/>
          <w:trHeight w:val="1130"/>
        </w:trPr>
        <w:tc>
          <w:tcPr>
            <w:tcW w:w="719" w:type="dxa"/>
            <w:vAlign w:val="center"/>
            <w:textDirection w:val="lrTb"/>
            <w:noWrap/>
          </w:tcPr>
          <w:p>
            <w:pPr>
              <w:pStyle w:val="903"/>
              <w:jc w:val="center"/>
              <w:widowControl/>
              <w:rPr>
                <w:color w:val="000000"/>
                <w:lang w:bidi="ar"/>
              </w:rPr>
            </w:pPr>
            <w:r>
              <w:rPr>
                <w:color w:val="000000"/>
                <w:lang w:bidi="ar"/>
              </w:rPr>
              <w:t xml:space="preserve">2</w:t>
            </w:r>
            <w:r/>
          </w:p>
        </w:tc>
        <w:tc>
          <w:tcPr>
            <w:tcW w:w="1701" w:type="dxa"/>
            <w:vAlign w:val="center"/>
            <w:vMerge w:val="continue"/>
            <w:textDirection w:val="lrTb"/>
            <w:noWrap w:val="false"/>
          </w:tcPr>
          <w:p>
            <w:pPr>
              <w:pStyle w:val="903"/>
              <w:jc w:val="center"/>
              <w:widowControl/>
              <w:rPr>
                <w:color w:val="000000"/>
                <w:lang w:bidi="ar"/>
              </w:rPr>
            </w:pPr>
            <w:r>
              <w:rPr>
                <w:color w:val="000000"/>
                <w:lang w:bidi="ar"/>
              </w:rPr>
            </w:r>
            <w:r/>
          </w:p>
        </w:tc>
        <w:tc>
          <w:tcPr>
            <w:tcW w:w="6651" w:type="dxa"/>
            <w:vAlign w:val="top"/>
            <w:textDirection w:val="lrTb"/>
            <w:noWrap w:val="false"/>
          </w:tcPr>
          <w:p>
            <w:pPr>
              <w:pStyle w:val="903"/>
              <w:jc w:val="center"/>
              <w:widowControl/>
              <w:rPr>
                <w:color w:val="000000"/>
                <w:lang w:bidi="ar"/>
              </w:rPr>
            </w:pPr>
            <w:r>
              <w:rPr>
                <w:color w:val="000000"/>
                <w:lang w:bidi="ar"/>
              </w:rPr>
              <w:t xml:space="preserve">供应商基础传输网要求：要求供应商用于承载工作网的长途传输省级光传送网干线层面采用1+1的保护机制，当主用路由发生故障，电路自动切换到备用路由。</w:t>
            </w:r>
            <w:r/>
          </w:p>
        </w:tc>
      </w:tr>
      <w:tr>
        <w:trPr>
          <w:cantSplit/>
          <w:trHeight w:val="1130"/>
        </w:trPr>
        <w:tc>
          <w:tcPr>
            <w:tcW w:w="719" w:type="dxa"/>
            <w:vAlign w:val="center"/>
            <w:textDirection w:val="lrTb"/>
            <w:noWrap/>
          </w:tcPr>
          <w:p>
            <w:pPr>
              <w:pStyle w:val="903"/>
              <w:jc w:val="center"/>
              <w:widowControl/>
              <w:rPr>
                <w:color w:val="000000"/>
                <w:lang w:bidi="ar"/>
              </w:rPr>
            </w:pPr>
            <w:r>
              <w:rPr>
                <w:color w:val="000000"/>
                <w:lang w:bidi="ar"/>
              </w:rPr>
              <w:t xml:space="preserve">3</w:t>
            </w:r>
            <w:r/>
          </w:p>
        </w:tc>
        <w:tc>
          <w:tcPr>
            <w:tcW w:w="1701" w:type="dxa"/>
            <w:vAlign w:val="center"/>
            <w:vMerge w:val="continue"/>
            <w:textDirection w:val="lrTb"/>
            <w:noWrap w:val="false"/>
          </w:tcPr>
          <w:p>
            <w:pPr>
              <w:pStyle w:val="903"/>
              <w:jc w:val="center"/>
              <w:widowControl/>
              <w:rPr>
                <w:color w:val="000000"/>
                <w:lang w:bidi="ar"/>
              </w:rPr>
            </w:pPr>
            <w:r>
              <w:rPr>
                <w:color w:val="000000"/>
                <w:lang w:bidi="ar"/>
              </w:rPr>
            </w:r>
            <w:r/>
          </w:p>
        </w:tc>
        <w:tc>
          <w:tcPr>
            <w:tcW w:w="6651" w:type="dxa"/>
            <w:vAlign w:val="top"/>
            <w:textDirection w:val="lrTb"/>
            <w:noWrap w:val="false"/>
          </w:tcPr>
          <w:p>
            <w:pPr>
              <w:pStyle w:val="903"/>
              <w:jc w:val="center"/>
              <w:widowControl/>
              <w:rPr>
                <w:color w:val="000000"/>
                <w:lang w:bidi="ar"/>
              </w:rPr>
            </w:pPr>
            <w:r>
              <w:rPr>
                <w:color w:val="000000"/>
                <w:lang w:bidi="ar"/>
              </w:rPr>
              <w:t xml:space="preserve">要求供应商所提供的网络具有对所有节点传输设备的日常运行状态、故障响应、资源分配和调度控制等监测管理功能，提供端到端的客户网络监控等业务，供应商对于客户网络监控服务应具备7×24小时的实时服务监控团队。</w:t>
            </w:r>
            <w:r/>
          </w:p>
        </w:tc>
      </w:tr>
      <w:tr>
        <w:trPr>
          <w:cantSplit/>
          <w:trHeight w:val="967"/>
        </w:trPr>
        <w:tc>
          <w:tcPr>
            <w:tcW w:w="719" w:type="dxa"/>
            <w:vAlign w:val="center"/>
            <w:textDirection w:val="lrTb"/>
            <w:noWrap/>
          </w:tcPr>
          <w:p>
            <w:pPr>
              <w:pStyle w:val="903"/>
              <w:jc w:val="center"/>
              <w:widowControl/>
              <w:rPr>
                <w:color w:val="000000"/>
                <w:lang w:bidi="ar"/>
              </w:rPr>
            </w:pPr>
            <w:r>
              <w:rPr>
                <w:color w:val="000000"/>
                <w:lang w:bidi="ar"/>
              </w:rPr>
              <w:t xml:space="preserve">4</w:t>
            </w:r>
            <w:r/>
          </w:p>
        </w:tc>
        <w:tc>
          <w:tcPr>
            <w:tcW w:w="1701" w:type="dxa"/>
            <w:vAlign w:val="center"/>
            <w:vMerge w:val="continue"/>
            <w:textDirection w:val="lrTb"/>
            <w:noWrap w:val="false"/>
          </w:tcPr>
          <w:p>
            <w:pPr>
              <w:pStyle w:val="903"/>
              <w:jc w:val="center"/>
              <w:widowControl/>
              <w:rPr>
                <w:color w:val="000000"/>
                <w:lang w:bidi="ar"/>
              </w:rPr>
            </w:pPr>
            <w:r>
              <w:rPr>
                <w:color w:val="000000"/>
                <w:lang w:bidi="ar"/>
              </w:rPr>
            </w:r>
            <w:r/>
          </w:p>
        </w:tc>
        <w:tc>
          <w:tcPr>
            <w:tcW w:w="6651" w:type="dxa"/>
            <w:vAlign w:val="top"/>
            <w:textDirection w:val="lrTb"/>
            <w:noWrap w:val="false"/>
          </w:tcPr>
          <w:p>
            <w:pPr>
              <w:pStyle w:val="903"/>
              <w:jc w:val="center"/>
              <w:widowControl/>
              <w:rPr>
                <w:color w:val="000000"/>
                <w:lang w:bidi="ar"/>
              </w:rPr>
            </w:pPr>
            <w:r>
              <w:rPr>
                <w:color w:val="000000"/>
                <w:lang w:bidi="ar"/>
              </w:rPr>
              <w:t xml:space="preserve">符合中华人民共和国信息产业部《基于SDH的多业务传送节点（MSTP）本地传输工程设计规范》（YD/T 2397-2012）标准的要求，误码率≤1×10-7，最高时延≤50ms。</w:t>
            </w:r>
            <w:r/>
          </w:p>
        </w:tc>
      </w:tr>
      <w:tr>
        <w:trPr>
          <w:cantSplit/>
          <w:trHeight w:val="130"/>
        </w:trPr>
        <w:tc>
          <w:tcPr>
            <w:tcW w:w="719" w:type="dxa"/>
            <w:vAlign w:val="center"/>
            <w:textDirection w:val="lrTb"/>
            <w:noWrap/>
          </w:tcPr>
          <w:p>
            <w:pPr>
              <w:pStyle w:val="903"/>
              <w:jc w:val="center"/>
              <w:widowControl/>
              <w:rPr>
                <w:color w:val="000000"/>
                <w:lang w:bidi="ar"/>
              </w:rPr>
            </w:pPr>
            <w:r>
              <w:rPr>
                <w:color w:val="000000"/>
                <w:lang w:bidi="ar"/>
              </w:rPr>
              <w:t xml:space="preserve">5</w:t>
            </w:r>
            <w:r/>
          </w:p>
        </w:tc>
        <w:tc>
          <w:tcPr>
            <w:tcW w:w="1701" w:type="dxa"/>
            <w:vAlign w:val="center"/>
            <w:vMerge w:val="continue"/>
            <w:textDirection w:val="lrTb"/>
            <w:noWrap w:val="false"/>
          </w:tcPr>
          <w:p>
            <w:pPr>
              <w:pStyle w:val="903"/>
              <w:jc w:val="center"/>
              <w:widowControl/>
              <w:rPr>
                <w:color w:val="000000"/>
                <w:lang w:bidi="ar"/>
              </w:rPr>
            </w:pPr>
            <w:r>
              <w:rPr>
                <w:color w:val="000000"/>
                <w:lang w:bidi="ar"/>
              </w:rPr>
            </w:r>
            <w:r/>
          </w:p>
        </w:tc>
        <w:tc>
          <w:tcPr>
            <w:tcW w:w="6651" w:type="dxa"/>
            <w:vAlign w:val="top"/>
            <w:textDirection w:val="lrTb"/>
            <w:noWrap w:val="false"/>
          </w:tcPr>
          <w:p>
            <w:pPr>
              <w:pStyle w:val="903"/>
              <w:jc w:val="center"/>
              <w:widowControl/>
              <w:rPr>
                <w:color w:val="000000"/>
                <w:lang w:bidi="ar"/>
              </w:rPr>
            </w:pPr>
            <w:r>
              <w:rPr>
                <w:color w:val="000000"/>
                <w:lang w:bidi="ar"/>
              </w:rPr>
              <w:t xml:space="preserve">全年平均可用率≥99.9%。</w:t>
            </w:r>
            <w:r/>
          </w:p>
        </w:tc>
      </w:tr>
      <w:tr>
        <w:trPr>
          <w:cantSplit/>
          <w:trHeight w:val="262"/>
        </w:trPr>
        <w:tc>
          <w:tcPr>
            <w:tcW w:w="719" w:type="dxa"/>
            <w:vAlign w:val="center"/>
            <w:textDirection w:val="lrTb"/>
            <w:noWrap/>
          </w:tcPr>
          <w:p>
            <w:pPr>
              <w:pStyle w:val="903"/>
              <w:jc w:val="center"/>
              <w:widowControl/>
              <w:rPr>
                <w:color w:val="000000"/>
                <w:lang w:bidi="ar"/>
              </w:rPr>
            </w:pPr>
            <w:r>
              <w:rPr>
                <w:color w:val="000000"/>
                <w:lang w:bidi="ar"/>
              </w:rPr>
              <w:t xml:space="preserve">6</w:t>
            </w:r>
            <w:r/>
          </w:p>
        </w:tc>
        <w:tc>
          <w:tcPr>
            <w:tcW w:w="1701" w:type="dxa"/>
            <w:vAlign w:val="center"/>
            <w:vMerge w:val="restart"/>
            <w:textDirection w:val="lrTb"/>
            <w:noWrap w:val="false"/>
          </w:tcPr>
          <w:p>
            <w:pPr>
              <w:pStyle w:val="903"/>
              <w:jc w:val="center"/>
              <w:widowControl/>
              <w:rPr>
                <w:color w:val="000000"/>
                <w:lang w:bidi="ar"/>
              </w:rPr>
            </w:pPr>
            <w:r>
              <w:rPr>
                <w:color w:val="000000"/>
                <w:lang w:bidi="ar"/>
              </w:rPr>
              <w:t xml:space="preserve">裸纤</w:t>
            </w:r>
            <w:r/>
          </w:p>
          <w:p>
            <w:pPr>
              <w:pStyle w:val="903"/>
              <w:jc w:val="center"/>
              <w:widowControl/>
              <w:rPr>
                <w:color w:val="000000"/>
                <w:lang w:bidi="ar"/>
              </w:rPr>
            </w:pPr>
            <w:r>
              <w:rPr>
                <w:color w:val="000000"/>
                <w:lang w:bidi="ar"/>
              </w:rPr>
            </w:r>
            <w:r/>
          </w:p>
        </w:tc>
        <w:tc>
          <w:tcPr>
            <w:tcW w:w="6651" w:type="dxa"/>
            <w:vAlign w:val="center"/>
            <w:textDirection w:val="lrTb"/>
            <w:noWrap w:val="false"/>
          </w:tcPr>
          <w:p>
            <w:pPr>
              <w:pStyle w:val="903"/>
              <w:jc w:val="center"/>
              <w:widowControl/>
              <w:rPr>
                <w:color w:val="000000"/>
                <w:lang w:bidi="ar"/>
              </w:rPr>
            </w:pPr>
            <w:r>
              <w:rPr>
                <w:color w:val="000000"/>
                <w:lang w:bidi="ar"/>
              </w:rPr>
              <w:t xml:space="preserve">参数要求：每条裸光纤2芯，要求全程避免管道、熔接盒单点故障隐患。</w:t>
            </w:r>
            <w:r/>
          </w:p>
        </w:tc>
      </w:tr>
      <w:tr>
        <w:trPr>
          <w:cantSplit/>
          <w:trHeight w:val="960"/>
        </w:trPr>
        <w:tc>
          <w:tcPr>
            <w:tcW w:w="719" w:type="dxa"/>
            <w:vAlign w:val="center"/>
            <w:textDirection w:val="lrTb"/>
            <w:noWrap/>
          </w:tcPr>
          <w:p>
            <w:pPr>
              <w:pStyle w:val="903"/>
              <w:jc w:val="center"/>
              <w:widowControl/>
              <w:rPr>
                <w:color w:val="000000"/>
                <w:lang w:bidi="ar"/>
              </w:rPr>
            </w:pPr>
            <w:r>
              <w:rPr>
                <w:color w:val="000000"/>
                <w:lang w:bidi="ar"/>
              </w:rPr>
              <w:t xml:space="preserve">7</w:t>
            </w:r>
            <w:r/>
          </w:p>
        </w:tc>
        <w:tc>
          <w:tcPr>
            <w:tcW w:w="1701" w:type="dxa"/>
            <w:vAlign w:val="center"/>
            <w:vMerge w:val="continue"/>
            <w:textDirection w:val="lrTb"/>
            <w:noWrap w:val="false"/>
          </w:tcPr>
          <w:p>
            <w:pPr>
              <w:pStyle w:val="903"/>
              <w:jc w:val="center"/>
              <w:widowControl/>
              <w:rPr>
                <w:color w:val="000000"/>
                <w:lang w:bidi="ar"/>
              </w:rPr>
            </w:pPr>
            <w:r>
              <w:rPr>
                <w:color w:val="000000"/>
                <w:lang w:bidi="ar"/>
              </w:rPr>
            </w:r>
            <w:r/>
          </w:p>
        </w:tc>
        <w:tc>
          <w:tcPr>
            <w:tcW w:w="6651" w:type="dxa"/>
            <w:vAlign w:val="center"/>
            <w:textDirection w:val="lrTb"/>
            <w:noWrap w:val="false"/>
          </w:tcPr>
          <w:p>
            <w:pPr>
              <w:pStyle w:val="903"/>
              <w:jc w:val="center"/>
              <w:widowControl/>
              <w:rPr>
                <w:color w:val="000000"/>
                <w:lang w:bidi="ar"/>
              </w:rPr>
            </w:pPr>
            <w:r>
              <w:rPr>
                <w:color w:val="000000"/>
                <w:lang w:bidi="ar"/>
              </w:rPr>
              <w:t xml:space="preserve">支持2M～10G主要业务（例如E1/T1、STM-1/4/16/64、OC-3/12/48/192、FE、GE、10GE、FC100/200/400/800/1200、FICON、ESCON、DVB-ASI、HDTV、EPON、GPON等），支持端口速率自适应。</w:t>
            </w:r>
            <w:r/>
          </w:p>
        </w:tc>
      </w:tr>
      <w:tr>
        <w:trPr>
          <w:cantSplit/>
          <w:trHeight w:val="620"/>
        </w:trPr>
        <w:tc>
          <w:tcPr>
            <w:tcW w:w="719" w:type="dxa"/>
            <w:vAlign w:val="center"/>
            <w:textDirection w:val="lrTb"/>
            <w:noWrap/>
          </w:tcPr>
          <w:p>
            <w:pPr>
              <w:pStyle w:val="903"/>
              <w:jc w:val="center"/>
              <w:widowControl/>
              <w:rPr>
                <w:color w:val="000000"/>
                <w:lang w:bidi="ar"/>
              </w:rPr>
            </w:pPr>
            <w:r>
              <w:rPr>
                <w:color w:val="000000"/>
                <w:lang w:bidi="ar"/>
              </w:rPr>
              <w:t xml:space="preserve">8</w:t>
            </w:r>
            <w:r/>
          </w:p>
        </w:tc>
        <w:tc>
          <w:tcPr>
            <w:tcW w:w="1701" w:type="dxa"/>
            <w:vAlign w:val="center"/>
            <w:vMerge w:val="continue"/>
            <w:textDirection w:val="lrTb"/>
            <w:noWrap w:val="false"/>
          </w:tcPr>
          <w:p>
            <w:pPr>
              <w:pStyle w:val="903"/>
              <w:jc w:val="center"/>
              <w:widowControl/>
              <w:rPr>
                <w:color w:val="000000"/>
                <w:lang w:bidi="ar"/>
              </w:rPr>
            </w:pPr>
            <w:r>
              <w:rPr>
                <w:color w:val="000000"/>
                <w:lang w:bidi="ar"/>
              </w:rPr>
            </w:r>
            <w:r/>
          </w:p>
        </w:tc>
        <w:tc>
          <w:tcPr>
            <w:tcW w:w="6651" w:type="dxa"/>
            <w:vAlign w:val="center"/>
            <w:textDirection w:val="lrTb"/>
            <w:noWrap w:val="false"/>
          </w:tcPr>
          <w:p>
            <w:pPr>
              <w:pStyle w:val="903"/>
              <w:jc w:val="center"/>
              <w:widowControl/>
              <w:rPr>
                <w:color w:val="000000"/>
                <w:lang w:bidi="ar"/>
              </w:rPr>
            </w:pPr>
            <w:r>
              <w:rPr>
                <w:color w:val="000000"/>
                <w:lang w:bidi="ar"/>
              </w:rPr>
              <w:t xml:space="preserve">支持主流IP、SAN业务并支持混合承载，作为独立FC通道时实际速率不低于4Gbps。</w:t>
            </w:r>
            <w:r/>
          </w:p>
        </w:tc>
      </w:tr>
      <w:tr>
        <w:trPr>
          <w:cantSplit/>
          <w:trHeight w:val="331"/>
        </w:trPr>
        <w:tc>
          <w:tcPr>
            <w:tcW w:w="719" w:type="dxa"/>
            <w:vAlign w:val="center"/>
            <w:textDirection w:val="lrTb"/>
            <w:noWrap/>
          </w:tcPr>
          <w:p>
            <w:pPr>
              <w:pStyle w:val="903"/>
              <w:jc w:val="center"/>
              <w:widowControl/>
              <w:rPr>
                <w:color w:val="000000"/>
                <w:lang w:bidi="ar"/>
              </w:rPr>
            </w:pPr>
            <w:r>
              <w:rPr>
                <w:color w:val="000000"/>
                <w:lang w:bidi="ar"/>
              </w:rPr>
              <w:t xml:space="preserve">9</w:t>
            </w:r>
            <w:r/>
          </w:p>
        </w:tc>
        <w:tc>
          <w:tcPr>
            <w:tcW w:w="1701" w:type="dxa"/>
            <w:vAlign w:val="center"/>
            <w:vMerge w:val="continue"/>
            <w:textDirection w:val="lrTb"/>
            <w:noWrap w:val="false"/>
          </w:tcPr>
          <w:p>
            <w:pPr>
              <w:pStyle w:val="903"/>
              <w:jc w:val="center"/>
              <w:widowControl/>
              <w:rPr>
                <w:color w:val="000000"/>
                <w:lang w:bidi="ar"/>
              </w:rPr>
            </w:pPr>
            <w:r>
              <w:rPr>
                <w:color w:val="000000"/>
                <w:lang w:bidi="ar"/>
              </w:rPr>
            </w:r>
            <w:r/>
          </w:p>
        </w:tc>
        <w:tc>
          <w:tcPr>
            <w:tcW w:w="6651" w:type="dxa"/>
            <w:vAlign w:val="center"/>
            <w:textDirection w:val="lrTb"/>
            <w:noWrap/>
          </w:tcPr>
          <w:p>
            <w:pPr>
              <w:pStyle w:val="903"/>
              <w:jc w:val="center"/>
              <w:widowControl/>
              <w:rPr>
                <w:color w:val="000000"/>
                <w:lang w:bidi="ar"/>
              </w:rPr>
            </w:pPr>
            <w:r>
              <w:rPr>
                <w:color w:val="000000"/>
                <w:lang w:bidi="ar"/>
              </w:rPr>
              <w:t xml:space="preserve">支持与波分设备常用接口（例如SFP/SFP+/XFP等）对接，满足通用接口规范。</w:t>
            </w:r>
            <w:r/>
          </w:p>
        </w:tc>
      </w:tr>
    </w:tbl>
    <w:p>
      <w:pPr>
        <w:pStyle w:val="918"/>
        <w:rPr>
          <w:color w:val="000000"/>
        </w:rPr>
      </w:pPr>
      <w:r>
        <w:rPr>
          <w:color w:val="000000"/>
        </w:rPr>
      </w:r>
      <w:r/>
    </w:p>
    <w:p>
      <w:pPr>
        <w:pStyle w:val="907"/>
        <w:numPr>
          <w:ilvl w:val="0"/>
          <w:numId w:val="7"/>
        </w:numPr>
        <w:spacing w:before="0" w:after="0" w:line="360" w:lineRule="auto"/>
        <w:rPr>
          <w:rFonts w:ascii="Times New Roman" w:hAnsi="Times New Roman"/>
          <w:color w:val="000000"/>
        </w:rPr>
      </w:pPr>
      <w:r>
        <w:rPr>
          <w:rFonts w:ascii="Times New Roman" w:hAnsi="Times New Roman"/>
          <w:color w:val="000000"/>
        </w:rPr>
        <w:t xml:space="preserve">楼内楼层交换设备升级部署</w:t>
      </w:r>
      <w:r/>
    </w:p>
    <w:p>
      <w:pPr>
        <w:pStyle w:val="903"/>
        <w:ind w:firstLine="480"/>
        <w:rPr>
          <w:color w:val="000000"/>
          <w:sz w:val="24"/>
        </w:rPr>
      </w:pPr>
      <w:r>
        <w:rPr>
          <w:color w:val="000000"/>
          <w:sz w:val="24"/>
        </w:rPr>
        <w:t xml:space="preserve">为满足厅内办公网络升级需求，现采购楼层网络软硬件服务。要求设备与现有体内楼层交换设备适配，并满足日常使用需求，采购数量约4台千兆交换机，1台万兆交换机。需提供三年质保及技术支持服务，具体采购需求如下：</w:t>
      </w:r>
      <w:r/>
    </w:p>
    <w:p>
      <w:pPr>
        <w:pStyle w:val="903"/>
        <w:spacing w:line="400" w:lineRule="exact"/>
        <w:rPr>
          <w:b/>
          <w:bCs/>
          <w:color w:val="000000"/>
        </w:rPr>
      </w:pPr>
      <w:r>
        <w:rPr>
          <w:b/>
          <w:bCs/>
          <w:color w:val="000000"/>
        </w:rPr>
        <w:t xml:space="preserve">千兆交换机：</w:t>
      </w:r>
      <w:r/>
    </w:p>
    <w:tbl>
      <w:tblPr>
        <w:tblW w:w="4955" w:type="pct"/>
        <w:tblInd w:w="118" w:type="dxa"/>
        <w:tblBorders>
          <w:top w:val="single" w:color="000000" w:sz="4" w:space="0"/>
          <w:left w:val="single" w:color="000000" w:sz="8" w:space="0"/>
          <w:bottom w:val="single" w:color="000000" w:sz="4"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5"/>
        <w:gridCol w:w="7371"/>
      </w:tblGrid>
      <w:tr>
        <w:trPr>
          <w:trHeight w:val="496"/>
          <w:tblHeader/>
        </w:trPr>
        <w:tc>
          <w:tcPr>
            <w:shd w:val="clear" w:color="auto" w:fill="d9d9d9"/>
            <w:tcW w:w="1715" w:type="dxa"/>
            <w:vAlign w:val="center"/>
            <w:textDirection w:val="lrTb"/>
            <w:noWrap/>
          </w:tcPr>
          <w:p>
            <w:pPr>
              <w:pStyle w:val="1045"/>
              <w:ind w:left="107"/>
              <w:jc w:val="center"/>
              <w:spacing w:before="4"/>
              <w:rPr>
                <w:rFonts w:ascii="Times New Roman" w:hAnsi="Times New Roman" w:cs="Times New Roman"/>
                <w:b/>
                <w:color w:val="000000"/>
                <w:sz w:val="21"/>
                <w:szCs w:val="21"/>
              </w:rPr>
            </w:pPr>
            <w:r/>
            <w:bookmarkStart w:id="214" w:name="OLE_LINK5"/>
            <w:r>
              <w:rPr>
                <w:rFonts w:ascii="Times New Roman" w:hAnsi="Times New Roman" w:cs="Times New Roman"/>
                <w:b/>
                <w:bCs/>
                <w:color w:val="000000"/>
                <w:sz w:val="21"/>
                <w:szCs w:val="21"/>
              </w:rPr>
              <w:t xml:space="preserve">指标</w:t>
            </w:r>
            <w:r>
              <w:rPr>
                <w:rFonts w:ascii="Times New Roman" w:hAnsi="Times New Roman" w:cs="Times New Roman"/>
                <w:b/>
                <w:bCs/>
                <w:color w:val="000000"/>
                <w:sz w:val="21"/>
                <w:szCs w:val="21"/>
                <w:lang w:eastAsia="zh-CN"/>
              </w:rPr>
              <w:t xml:space="preserve">项</w:t>
            </w:r>
            <w:r>
              <w:rPr>
                <w:rFonts w:ascii="Times New Roman" w:hAnsi="Times New Roman" w:cs="Times New Roman"/>
                <w:b/>
                <w:color w:val="000000"/>
                <w:sz w:val="21"/>
                <w:szCs w:val="21"/>
              </w:rPr>
            </w:r>
            <w:r/>
          </w:p>
        </w:tc>
        <w:tc>
          <w:tcPr>
            <w:shd w:val="clear" w:color="auto" w:fill="d9d9d9"/>
            <w:tcW w:w="7371" w:type="dxa"/>
            <w:vAlign w:val="center"/>
            <w:textDirection w:val="lrTb"/>
            <w:noWrap/>
          </w:tcPr>
          <w:p>
            <w:pPr>
              <w:pStyle w:val="1045"/>
              <w:ind w:left="107"/>
              <w:jc w:val="center"/>
              <w:spacing w:before="4"/>
              <w:rPr>
                <w:rFonts w:ascii="Times New Roman" w:hAnsi="Times New Roman" w:cs="Times New Roman"/>
                <w:b/>
                <w:color w:val="000000"/>
                <w:sz w:val="21"/>
                <w:szCs w:val="21"/>
              </w:rPr>
            </w:pPr>
            <w:r>
              <w:rPr>
                <w:rFonts w:ascii="Times New Roman" w:hAnsi="Times New Roman" w:cs="Times New Roman"/>
                <w:b/>
                <w:bCs/>
                <w:color w:val="000000"/>
                <w:sz w:val="21"/>
                <w:szCs w:val="21"/>
              </w:rPr>
              <w:t xml:space="preserve">技术规格要求</w:t>
            </w:r>
            <w:r>
              <w:rPr>
                <w:rFonts w:ascii="Times New Roman" w:hAnsi="Times New Roman" w:cs="Times New Roman"/>
                <w:b/>
                <w:color w:val="000000"/>
                <w:sz w:val="21"/>
                <w:szCs w:val="21"/>
              </w:rPr>
            </w:r>
            <w:r/>
          </w:p>
        </w:tc>
      </w:tr>
      <w:tr>
        <w:trPr>
          <w:trHeight w:val="439"/>
        </w:trPr>
        <w:tc>
          <w:tcPr>
            <w:tcW w:w="1715" w:type="dxa"/>
            <w:vAlign w:val="center"/>
            <w:textDirection w:val="lrTb"/>
            <w:noWrap/>
          </w:tcPr>
          <w:p>
            <w:pPr>
              <w:pStyle w:val="903"/>
              <w:jc w:val="center"/>
              <w:spacing w:line="360" w:lineRule="auto"/>
              <w:rPr>
                <w:color w:val="000000"/>
              </w:rPr>
            </w:pPr>
            <w:r>
              <w:rPr>
                <w:color w:val="000000"/>
              </w:rPr>
              <w:t xml:space="preserve">性能</w:t>
            </w:r>
            <w:r/>
          </w:p>
        </w:tc>
        <w:tc>
          <w:tcPr>
            <w:tcW w:w="7371" w:type="dxa"/>
            <w:vAlign w:val="center"/>
            <w:textDirection w:val="lrTb"/>
            <w:noWrap/>
          </w:tcPr>
          <w:p>
            <w:pPr>
              <w:pStyle w:val="903"/>
              <w:spacing w:line="360" w:lineRule="auto"/>
              <w:rPr>
                <w:color w:val="000000"/>
              </w:rPr>
            </w:pPr>
            <w:r>
              <w:rPr>
                <w:rFonts w:hint="eastAsia" w:ascii="宋体" w:hAnsi="宋体" w:cs="宋体"/>
                <w:color w:val="000000"/>
              </w:rPr>
              <w:t xml:space="preserve">★</w:t>
            </w:r>
            <w:r>
              <w:rPr>
                <w:color w:val="000000"/>
              </w:rPr>
              <w:t xml:space="preserve">交换容量≥1.3Tbps，包转发率≥200Mpps，以官网最小值为准，提供官网截图证明 </w:t>
            </w:r>
            <w:r/>
          </w:p>
        </w:tc>
      </w:tr>
      <w:tr>
        <w:trPr>
          <w:trHeight w:val="563"/>
        </w:trPr>
        <w:tc>
          <w:tcPr>
            <w:tcW w:w="1715" w:type="dxa"/>
            <w:vAlign w:val="center"/>
            <w:textDirection w:val="lrTb"/>
            <w:noWrap/>
          </w:tcPr>
          <w:p>
            <w:pPr>
              <w:pStyle w:val="903"/>
              <w:jc w:val="center"/>
              <w:spacing w:line="360" w:lineRule="auto"/>
              <w:rPr>
                <w:color w:val="000000"/>
              </w:rPr>
            </w:pPr>
            <w:r>
              <w:rPr>
                <w:color w:val="000000"/>
              </w:rPr>
              <w:t xml:space="preserve">端口</w:t>
            </w:r>
            <w:r/>
          </w:p>
        </w:tc>
        <w:tc>
          <w:tcPr>
            <w:tcW w:w="7371" w:type="dxa"/>
            <w:vAlign w:val="center"/>
            <w:textDirection w:val="lrTb"/>
            <w:noWrap/>
          </w:tcPr>
          <w:p>
            <w:pPr>
              <w:pStyle w:val="903"/>
              <w:spacing w:line="360" w:lineRule="auto"/>
              <w:rPr>
                <w:color w:val="000000"/>
              </w:rPr>
            </w:pPr>
            <w:r>
              <w:rPr>
                <w:rFonts w:hint="eastAsia" w:ascii="宋体" w:hAnsi="宋体" w:cs="宋体"/>
                <w:color w:val="000000"/>
              </w:rPr>
              <w:t xml:space="preserve">★</w:t>
            </w:r>
            <w:r>
              <w:rPr>
                <w:color w:val="000000"/>
              </w:rPr>
              <w:t xml:space="preserve">48个10/100/1000BASE-T以太网端口，4个万兆SFP+，2个大于10G堆叠口，提供官网截图证明 </w:t>
            </w:r>
            <w:r/>
          </w:p>
        </w:tc>
      </w:tr>
      <w:tr>
        <w:trPr>
          <w:trHeight w:val="563"/>
        </w:trPr>
        <w:tc>
          <w:tcPr>
            <w:tcW w:w="1715" w:type="dxa"/>
            <w:vAlign w:val="center"/>
            <w:textDirection w:val="lrTb"/>
            <w:noWrap/>
          </w:tcPr>
          <w:p>
            <w:pPr>
              <w:pStyle w:val="903"/>
              <w:jc w:val="center"/>
              <w:spacing w:line="360" w:lineRule="auto"/>
              <w:rPr>
                <w:color w:val="000000"/>
              </w:rPr>
            </w:pPr>
            <w:r>
              <w:rPr>
                <w:color w:val="000000"/>
              </w:rPr>
              <w:t xml:space="preserve">复位按钮</w:t>
            </w:r>
            <w:r/>
          </w:p>
        </w:tc>
        <w:tc>
          <w:tcPr>
            <w:tcW w:w="7371" w:type="dxa"/>
            <w:vAlign w:val="center"/>
            <w:textDirection w:val="lrTb"/>
            <w:noWrap/>
          </w:tcPr>
          <w:p>
            <w:pPr>
              <w:pStyle w:val="903"/>
              <w:spacing w:line="360" w:lineRule="auto"/>
              <w:rPr>
                <w:color w:val="000000"/>
              </w:rPr>
            </w:pPr>
            <w:r>
              <w:rPr>
                <w:rFonts w:hint="eastAsia" w:ascii="宋体" w:hAnsi="宋体" w:cs="宋体"/>
                <w:color w:val="000000"/>
              </w:rPr>
              <w:t xml:space="preserve">★</w:t>
            </w:r>
            <w:r>
              <w:rPr>
                <w:color w:val="000000"/>
              </w:rPr>
              <w:t xml:space="preserve">设备支持复位按钮和清配置按钮，提供官网截图证明 </w:t>
            </w:r>
            <w:r/>
          </w:p>
        </w:tc>
      </w:tr>
      <w:tr>
        <w:trPr>
          <w:trHeight w:val="563"/>
        </w:trPr>
        <w:tc>
          <w:tcPr>
            <w:tcW w:w="1715" w:type="dxa"/>
            <w:vAlign w:val="center"/>
            <w:textDirection w:val="lrTb"/>
            <w:noWrap/>
          </w:tcPr>
          <w:p>
            <w:pPr>
              <w:pStyle w:val="903"/>
              <w:jc w:val="center"/>
              <w:spacing w:line="360" w:lineRule="auto"/>
              <w:rPr>
                <w:color w:val="000000"/>
              </w:rPr>
            </w:pPr>
            <w:r>
              <w:rPr>
                <w:color w:val="000000"/>
              </w:rPr>
              <w:t xml:space="preserve">硬件</w:t>
            </w:r>
            <w:r/>
          </w:p>
        </w:tc>
        <w:tc>
          <w:tcPr>
            <w:tcW w:w="7371" w:type="dxa"/>
            <w:vAlign w:val="center"/>
            <w:textDirection w:val="lrTb"/>
            <w:noWrap/>
          </w:tcPr>
          <w:p>
            <w:pPr>
              <w:pStyle w:val="903"/>
              <w:spacing w:line="360" w:lineRule="auto"/>
              <w:rPr>
                <w:color w:val="000000"/>
              </w:rPr>
            </w:pPr>
            <w:r>
              <w:rPr>
                <w:color w:val="000000"/>
              </w:rPr>
              <w:t xml:space="preserve">支持专用堆叠口，不占用业务口带宽</w:t>
            </w:r>
            <w:r/>
          </w:p>
        </w:tc>
      </w:tr>
      <w:tr>
        <w:trPr>
          <w:trHeight w:val="563"/>
        </w:trPr>
        <w:tc>
          <w:tcPr>
            <w:tcW w:w="1715" w:type="dxa"/>
            <w:vAlign w:val="center"/>
            <w:textDirection w:val="lrTb"/>
            <w:noWrap/>
          </w:tcPr>
          <w:p>
            <w:pPr>
              <w:pStyle w:val="903"/>
              <w:jc w:val="center"/>
              <w:spacing w:line="360" w:lineRule="auto"/>
              <w:rPr>
                <w:color w:val="000000"/>
              </w:rPr>
            </w:pPr>
            <w:r>
              <w:rPr>
                <w:color w:val="000000"/>
              </w:rPr>
              <w:t xml:space="preserve">国产化</w:t>
            </w:r>
            <w:r/>
          </w:p>
        </w:tc>
        <w:tc>
          <w:tcPr>
            <w:tcW w:w="7371" w:type="dxa"/>
            <w:vAlign w:val="center"/>
            <w:textDirection w:val="lrTb"/>
            <w:noWrap/>
          </w:tcPr>
          <w:p>
            <w:pPr>
              <w:pStyle w:val="903"/>
              <w:spacing w:line="360" w:lineRule="auto"/>
              <w:rPr>
                <w:color w:val="000000"/>
              </w:rPr>
            </w:pPr>
            <w:r>
              <w:rPr>
                <w:rFonts w:hint="eastAsia" w:ascii="宋体" w:hAnsi="宋体" w:cs="宋体"/>
                <w:color w:val="000000"/>
              </w:rPr>
              <w:t xml:space="preserve">★</w:t>
            </w:r>
            <w:r>
              <w:rPr>
                <w:color w:val="000000"/>
              </w:rPr>
              <w:t xml:space="preserve">采用国产CPU芯片和转发芯片，自主可控，提供第三方测试报告截图证明 </w:t>
            </w:r>
            <w:r/>
          </w:p>
        </w:tc>
      </w:tr>
      <w:tr>
        <w:trPr>
          <w:trHeight w:val="563"/>
        </w:trPr>
        <w:tc>
          <w:tcPr>
            <w:tcW w:w="1715" w:type="dxa"/>
            <w:vAlign w:val="center"/>
            <w:textDirection w:val="lrTb"/>
            <w:noWrap/>
          </w:tcPr>
          <w:p>
            <w:pPr>
              <w:pStyle w:val="903"/>
              <w:jc w:val="center"/>
              <w:spacing w:line="360" w:lineRule="auto"/>
              <w:rPr>
                <w:color w:val="000000"/>
              </w:rPr>
            </w:pPr>
            <w:r>
              <w:rPr>
                <w:color w:val="000000"/>
              </w:rPr>
              <w:t xml:space="preserve">三层</w:t>
            </w:r>
            <w:r/>
          </w:p>
        </w:tc>
        <w:tc>
          <w:tcPr>
            <w:tcW w:w="7371" w:type="dxa"/>
            <w:vAlign w:val="top"/>
            <w:textDirection w:val="lrTb"/>
            <w:noWrap/>
          </w:tcPr>
          <w:p>
            <w:pPr>
              <w:pStyle w:val="903"/>
              <w:spacing w:line="360" w:lineRule="auto"/>
              <w:rPr>
                <w:color w:val="000000"/>
              </w:rPr>
            </w:pPr>
            <w:r>
              <w:rPr>
                <w:color w:val="000000"/>
              </w:rPr>
              <w:t xml:space="preserve">支持静态路由、路由策略、策略路由，支持 RIP、RIPng、OSPF、OSPFv3、IS-IS、IS-ISv6、 BGP、BGP4+</w:t>
            </w:r>
            <w:r/>
          </w:p>
        </w:tc>
      </w:tr>
      <w:tr>
        <w:trPr>
          <w:cantSplit/>
          <w:trHeight w:val="327"/>
        </w:trPr>
        <w:tc>
          <w:tcPr>
            <w:tcW w:w="1715" w:type="dxa"/>
            <w:vAlign w:val="center"/>
            <w:textDirection w:val="lrTb"/>
            <w:noWrap/>
          </w:tcPr>
          <w:p>
            <w:pPr>
              <w:pStyle w:val="903"/>
              <w:jc w:val="center"/>
              <w:spacing w:line="360" w:lineRule="auto"/>
              <w:rPr>
                <w:color w:val="000000"/>
              </w:rPr>
            </w:pPr>
            <w:r>
              <w:rPr>
                <w:color w:val="000000"/>
              </w:rPr>
              <w:t xml:space="preserve">可靠性</w:t>
            </w:r>
            <w:r/>
          </w:p>
        </w:tc>
        <w:tc>
          <w:tcPr>
            <w:tcW w:w="7371" w:type="dxa"/>
            <w:vAlign w:val="center"/>
            <w:textDirection w:val="lrTb"/>
            <w:noWrap w:val="false"/>
          </w:tcPr>
          <w:p>
            <w:pPr>
              <w:pStyle w:val="903"/>
              <w:spacing w:line="360" w:lineRule="auto"/>
              <w:rPr>
                <w:color w:val="000000"/>
              </w:rPr>
            </w:pPr>
            <w:r>
              <w:rPr>
                <w:color w:val="000000"/>
              </w:rPr>
              <w:t xml:space="preserve">支持G.8032以太网环保护协议ERPS，切换时间≤50ms，可兼容其他支持该协议的产品</w:t>
            </w:r>
            <w:r/>
          </w:p>
        </w:tc>
      </w:tr>
      <w:tr>
        <w:trPr>
          <w:cantSplit/>
          <w:trHeight w:val="669"/>
        </w:trPr>
        <w:tc>
          <w:tcPr>
            <w:tcW w:w="1715" w:type="dxa"/>
            <w:vAlign w:val="center"/>
            <w:vMerge w:val="restart"/>
            <w:textDirection w:val="lrTb"/>
            <w:noWrap/>
          </w:tcPr>
          <w:p>
            <w:pPr>
              <w:pStyle w:val="903"/>
              <w:jc w:val="center"/>
              <w:spacing w:line="360" w:lineRule="auto"/>
              <w:rPr>
                <w:color w:val="000000"/>
              </w:rPr>
            </w:pPr>
            <w:r>
              <w:rPr>
                <w:color w:val="000000"/>
              </w:rPr>
              <w:t xml:space="preserve">安全</w:t>
            </w:r>
            <w:r/>
          </w:p>
        </w:tc>
        <w:tc>
          <w:tcPr>
            <w:tcW w:w="7371" w:type="dxa"/>
            <w:vAlign w:val="center"/>
            <w:textDirection w:val="lrTb"/>
            <w:noWrap w:val="false"/>
          </w:tcPr>
          <w:p>
            <w:pPr>
              <w:pStyle w:val="903"/>
              <w:spacing w:line="360" w:lineRule="auto"/>
              <w:rPr>
                <w:color w:val="000000"/>
              </w:rPr>
            </w:pPr>
            <w:r>
              <w:rPr>
                <w:rFonts w:hint="eastAsia" w:ascii="宋体" w:hAnsi="宋体" w:cs="宋体"/>
                <w:color w:val="000000"/>
              </w:rPr>
              <w:t xml:space="preserve">★</w:t>
            </w:r>
            <w:r>
              <w:rPr>
                <w:color w:val="000000"/>
              </w:rPr>
              <w:t xml:space="preserve">支持安全特性：IP Source Guard、DAI、攻击溯源等，提供第三方测试报告截图证明</w:t>
            </w:r>
            <w:r/>
          </w:p>
        </w:tc>
      </w:tr>
      <w:tr>
        <w:trPr>
          <w:cantSplit/>
          <w:trHeight w:val="433"/>
        </w:trPr>
        <w:tc>
          <w:tcPr>
            <w:tcW w:w="1715" w:type="dxa"/>
            <w:vAlign w:val="center"/>
            <w:vMerge w:val="continue"/>
            <w:textDirection w:val="lrTb"/>
            <w:noWrap/>
          </w:tcPr>
          <w:p>
            <w:pPr>
              <w:pStyle w:val="903"/>
              <w:jc w:val="center"/>
              <w:spacing w:line="360" w:lineRule="auto"/>
              <w:rPr>
                <w:color w:val="000000"/>
              </w:rPr>
            </w:pPr>
            <w:r>
              <w:rPr>
                <w:color w:val="000000"/>
              </w:rPr>
            </w:r>
            <w:r/>
          </w:p>
        </w:tc>
        <w:tc>
          <w:tcPr>
            <w:tcW w:w="7371" w:type="dxa"/>
            <w:vAlign w:val="center"/>
            <w:textDirection w:val="lrTb"/>
            <w:noWrap w:val="false"/>
          </w:tcPr>
          <w:p>
            <w:pPr>
              <w:pStyle w:val="903"/>
              <w:spacing w:line="360" w:lineRule="auto"/>
              <w:rPr>
                <w:color w:val="000000"/>
              </w:rPr>
            </w:pPr>
            <w:r>
              <w:rPr>
                <w:color w:val="000000"/>
              </w:rPr>
              <w:t xml:space="preserve">支持防DOS攻击、支持防ARP攻击、支持防ICMP攻击、支持CPU保护</w:t>
            </w:r>
            <w:r/>
          </w:p>
        </w:tc>
      </w:tr>
      <w:tr>
        <w:trPr>
          <w:cantSplit/>
          <w:trHeight w:val="433"/>
        </w:trPr>
        <w:tc>
          <w:tcPr>
            <w:tcW w:w="1715" w:type="dxa"/>
            <w:vAlign w:val="center"/>
            <w:textDirection w:val="lrTb"/>
            <w:noWrap/>
          </w:tcPr>
          <w:p>
            <w:pPr>
              <w:pStyle w:val="903"/>
              <w:jc w:val="center"/>
              <w:spacing w:line="360" w:lineRule="auto"/>
              <w:rPr>
                <w:color w:val="000000"/>
              </w:rPr>
            </w:pPr>
            <w:r>
              <w:rPr>
                <w:color w:val="000000"/>
              </w:rPr>
              <w:t xml:space="preserve">堆叠</w:t>
            </w:r>
            <w:r/>
          </w:p>
        </w:tc>
        <w:tc>
          <w:tcPr>
            <w:tcW w:w="7371" w:type="dxa"/>
            <w:vAlign w:val="center"/>
            <w:textDirection w:val="lrTb"/>
            <w:noWrap w:val="false"/>
          </w:tcPr>
          <w:p>
            <w:pPr>
              <w:pStyle w:val="903"/>
              <w:spacing w:line="360" w:lineRule="auto"/>
              <w:rPr>
                <w:color w:val="000000"/>
              </w:rPr>
            </w:pPr>
            <w:r>
              <w:rPr>
                <w:color w:val="000000"/>
              </w:rPr>
              <w:t xml:space="preserve">支持设备堆叠</w:t>
            </w:r>
            <w:r/>
          </w:p>
        </w:tc>
      </w:tr>
      <w:tr>
        <w:trPr>
          <w:cantSplit/>
          <w:trHeight w:val="433"/>
        </w:trPr>
        <w:tc>
          <w:tcPr>
            <w:tcW w:w="1715" w:type="dxa"/>
            <w:vAlign w:val="center"/>
            <w:textDirection w:val="lrTb"/>
            <w:noWrap/>
          </w:tcPr>
          <w:p>
            <w:pPr>
              <w:pStyle w:val="903"/>
              <w:jc w:val="center"/>
              <w:spacing w:line="360" w:lineRule="auto"/>
              <w:rPr>
                <w:color w:val="000000"/>
              </w:rPr>
            </w:pPr>
            <w:r>
              <w:rPr>
                <w:color w:val="000000"/>
              </w:rPr>
              <w:t xml:space="preserve">网络切片功能</w:t>
            </w:r>
            <w:r/>
          </w:p>
        </w:tc>
        <w:tc>
          <w:tcPr>
            <w:tcW w:w="7371" w:type="dxa"/>
            <w:vAlign w:val="center"/>
            <w:textDirection w:val="lrTb"/>
            <w:noWrap w:val="false"/>
          </w:tcPr>
          <w:p>
            <w:pPr>
              <w:pStyle w:val="903"/>
              <w:spacing w:line="360" w:lineRule="auto"/>
              <w:rPr>
                <w:color w:val="000000"/>
              </w:rPr>
            </w:pPr>
            <w:r>
              <w:rPr>
                <w:rFonts w:hint="eastAsia" w:ascii="宋体" w:hAnsi="宋体" w:cs="宋体"/>
                <w:color w:val="000000"/>
              </w:rPr>
              <w:t xml:space="preserve">★</w:t>
            </w:r>
            <w:r>
              <w:rPr>
                <w:color w:val="000000"/>
              </w:rPr>
              <w:t xml:space="preserve">支持网络分片功能，提供第三方测试报告截图证明</w:t>
            </w:r>
            <w:r/>
          </w:p>
        </w:tc>
      </w:tr>
      <w:tr>
        <w:trPr>
          <w:cantSplit/>
          <w:trHeight w:val="280"/>
        </w:trPr>
        <w:tc>
          <w:tcPr>
            <w:tcW w:w="1715" w:type="dxa"/>
            <w:vAlign w:val="center"/>
            <w:textDirection w:val="lrTb"/>
            <w:noWrap/>
          </w:tcPr>
          <w:p>
            <w:pPr>
              <w:pStyle w:val="903"/>
              <w:jc w:val="center"/>
              <w:spacing w:line="360" w:lineRule="auto"/>
              <w:rPr>
                <w:color w:val="000000"/>
              </w:rPr>
            </w:pPr>
            <w:r>
              <w:rPr>
                <w:color w:val="000000"/>
              </w:rPr>
              <w:t xml:space="preserve">智能运维</w:t>
            </w:r>
            <w:r/>
          </w:p>
        </w:tc>
        <w:tc>
          <w:tcPr>
            <w:tcW w:w="7371" w:type="dxa"/>
            <w:vAlign w:val="center"/>
            <w:textDirection w:val="lrTb"/>
            <w:noWrap/>
          </w:tcPr>
          <w:p>
            <w:pPr>
              <w:pStyle w:val="903"/>
              <w:spacing w:line="360" w:lineRule="auto"/>
              <w:rPr>
                <w:color w:val="000000"/>
              </w:rPr>
            </w:pPr>
            <w:r>
              <w:rPr>
                <w:color w:val="000000"/>
              </w:rPr>
              <w:t xml:space="preserve">支持Telemetry </w:t>
            </w:r>
            <w:r/>
          </w:p>
        </w:tc>
      </w:tr>
      <w:tr>
        <w:trPr>
          <w:cantSplit/>
          <w:trHeight w:val="984"/>
        </w:trPr>
        <w:tc>
          <w:tcPr>
            <w:tcW w:w="1715" w:type="dxa"/>
            <w:vAlign w:val="center"/>
            <w:textDirection w:val="lrTb"/>
            <w:noWrap w:val="false"/>
          </w:tcPr>
          <w:p>
            <w:pPr>
              <w:pStyle w:val="903"/>
              <w:jc w:val="center"/>
              <w:spacing w:line="360" w:lineRule="auto"/>
              <w:rPr>
                <w:b/>
                <w:color w:val="000000"/>
              </w:rPr>
            </w:pPr>
            <w:r>
              <w:rPr>
                <w:b/>
                <w:i/>
                <w:color w:val="000000"/>
                <w:u w:val="single"/>
              </w:rPr>
              <w:t xml:space="preserve">配置要求</w:t>
            </w:r>
            <w:r>
              <w:rPr>
                <w:b/>
                <w:color w:val="000000"/>
              </w:rPr>
            </w:r>
            <w:r/>
          </w:p>
        </w:tc>
        <w:tc>
          <w:tcPr>
            <w:tcW w:w="7371" w:type="dxa"/>
            <w:vAlign w:val="center"/>
            <w:textDirection w:val="lrTb"/>
            <w:noWrap/>
          </w:tcPr>
          <w:p>
            <w:pPr>
              <w:pStyle w:val="903"/>
              <w:spacing w:line="360" w:lineRule="auto"/>
              <w:rPr>
                <w:b/>
                <w:color w:val="000000"/>
              </w:rPr>
            </w:pPr>
            <w:r>
              <w:rPr>
                <w:b/>
                <w:i/>
                <w:iCs/>
                <w:color w:val="000000"/>
                <w:u w:val="single"/>
              </w:rPr>
              <w:t xml:space="preserve">10/100/1000BASE-T以太网端口≥48，万兆光口≥4，大于10GE堆叠口≥2，交流电源模块*2，高速专用堆叠电缆-1.5M*1，千兆多模模块≥4，三年质保服务；</w:t>
            </w:r>
            <w:r>
              <w:rPr>
                <w:b/>
                <w:color w:val="000000"/>
              </w:rPr>
            </w:r>
            <w:r/>
          </w:p>
        </w:tc>
      </w:tr>
    </w:tbl>
    <w:p>
      <w:pPr>
        <w:pStyle w:val="903"/>
        <w:rPr>
          <w:color w:val="000000"/>
        </w:rPr>
      </w:pPr>
      <w:r/>
      <w:bookmarkEnd w:id="214"/>
      <w:r>
        <w:rPr>
          <w:color w:val="000000"/>
        </w:rPr>
      </w:r>
      <w:r/>
    </w:p>
    <w:p>
      <w:pPr>
        <w:pStyle w:val="903"/>
        <w:rPr>
          <w:b/>
          <w:bCs/>
          <w:color w:val="000000"/>
        </w:rPr>
      </w:pPr>
      <w:r>
        <w:rPr>
          <w:b/>
          <w:bCs/>
          <w:color w:val="000000"/>
        </w:rPr>
        <w:t xml:space="preserve">万兆交换机：</w:t>
      </w:r>
      <w:r/>
    </w:p>
    <w:tbl>
      <w:tblPr>
        <w:tblW w:w="4955" w:type="pct"/>
        <w:tblInd w:w="118" w:type="dxa"/>
        <w:tblBorders>
          <w:top w:val="single" w:color="000000" w:sz="4" w:space="0"/>
          <w:left w:val="single" w:color="000000" w:sz="8" w:space="0"/>
          <w:bottom w:val="single" w:color="000000" w:sz="4"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5"/>
        <w:gridCol w:w="7371"/>
      </w:tblGrid>
      <w:tr>
        <w:trPr>
          <w:trHeight w:val="496"/>
          <w:tblHeader/>
        </w:trPr>
        <w:tc>
          <w:tcPr>
            <w:shd w:val="clear" w:color="auto" w:fill="d9d9d9"/>
            <w:tcW w:w="1715" w:type="dxa"/>
            <w:vAlign w:val="center"/>
            <w:textDirection w:val="lrTb"/>
            <w:noWrap/>
          </w:tcPr>
          <w:p>
            <w:pPr>
              <w:pStyle w:val="1045"/>
              <w:ind w:left="107"/>
              <w:jc w:val="center"/>
              <w:spacing w:before="4"/>
              <w:rPr>
                <w:rFonts w:ascii="Times New Roman" w:hAnsi="Times New Roman" w:cs="Times New Roman"/>
                <w:b/>
                <w:color w:val="000000"/>
                <w:sz w:val="21"/>
                <w:szCs w:val="21"/>
              </w:rPr>
            </w:pPr>
            <w:r>
              <w:rPr>
                <w:rFonts w:ascii="Times New Roman" w:hAnsi="Times New Roman" w:cs="Times New Roman"/>
                <w:b/>
                <w:bCs/>
                <w:color w:val="000000"/>
                <w:sz w:val="21"/>
                <w:szCs w:val="21"/>
              </w:rPr>
              <w:t xml:space="preserve">指标</w:t>
            </w:r>
            <w:r>
              <w:rPr>
                <w:rFonts w:ascii="Times New Roman" w:hAnsi="Times New Roman" w:cs="Times New Roman"/>
                <w:b/>
                <w:bCs/>
                <w:color w:val="000000"/>
                <w:sz w:val="21"/>
                <w:szCs w:val="21"/>
                <w:lang w:eastAsia="zh-CN"/>
              </w:rPr>
              <w:t xml:space="preserve">项</w:t>
            </w:r>
            <w:r>
              <w:rPr>
                <w:rFonts w:ascii="Times New Roman" w:hAnsi="Times New Roman" w:cs="Times New Roman"/>
                <w:b/>
                <w:color w:val="000000"/>
                <w:sz w:val="21"/>
                <w:szCs w:val="21"/>
              </w:rPr>
            </w:r>
            <w:r/>
          </w:p>
        </w:tc>
        <w:tc>
          <w:tcPr>
            <w:shd w:val="clear" w:color="auto" w:fill="d9d9d9"/>
            <w:tcW w:w="7371" w:type="dxa"/>
            <w:vAlign w:val="center"/>
            <w:textDirection w:val="lrTb"/>
            <w:noWrap/>
          </w:tcPr>
          <w:p>
            <w:pPr>
              <w:pStyle w:val="1045"/>
              <w:ind w:left="107"/>
              <w:jc w:val="center"/>
              <w:spacing w:before="4"/>
              <w:rPr>
                <w:rFonts w:ascii="Times New Roman" w:hAnsi="Times New Roman" w:cs="Times New Roman"/>
                <w:b/>
                <w:color w:val="000000"/>
                <w:sz w:val="21"/>
                <w:szCs w:val="21"/>
              </w:rPr>
            </w:pPr>
            <w:r>
              <w:rPr>
                <w:rFonts w:ascii="Times New Roman" w:hAnsi="Times New Roman" w:cs="Times New Roman"/>
                <w:b/>
                <w:bCs/>
                <w:color w:val="000000"/>
                <w:sz w:val="21"/>
                <w:szCs w:val="21"/>
              </w:rPr>
              <w:t xml:space="preserve">技术规格要求</w:t>
            </w:r>
            <w:r>
              <w:rPr>
                <w:rFonts w:ascii="Times New Roman" w:hAnsi="Times New Roman" w:cs="Times New Roman"/>
                <w:b/>
                <w:color w:val="000000"/>
                <w:sz w:val="21"/>
                <w:szCs w:val="21"/>
              </w:rPr>
            </w:r>
            <w:r/>
          </w:p>
        </w:tc>
      </w:tr>
      <w:tr>
        <w:trPr>
          <w:trHeight w:val="439"/>
        </w:trPr>
        <w:tc>
          <w:tcPr>
            <w:tcW w:w="1715" w:type="dxa"/>
            <w:vAlign w:val="center"/>
            <w:textDirection w:val="lrTb"/>
            <w:noWrap/>
          </w:tcPr>
          <w:p>
            <w:pPr>
              <w:pStyle w:val="903"/>
              <w:jc w:val="center"/>
              <w:spacing w:line="360" w:lineRule="auto"/>
              <w:rPr>
                <w:color w:val="000000"/>
              </w:rPr>
            </w:pPr>
            <w:r>
              <w:rPr>
                <w:color w:val="000000"/>
              </w:rPr>
              <w:t xml:space="preserve">性能</w:t>
            </w:r>
            <w:r/>
          </w:p>
        </w:tc>
        <w:tc>
          <w:tcPr>
            <w:tcW w:w="7371" w:type="dxa"/>
            <w:vAlign w:val="center"/>
            <w:textDirection w:val="lrTb"/>
            <w:noWrap/>
          </w:tcPr>
          <w:p>
            <w:pPr>
              <w:pStyle w:val="903"/>
              <w:spacing w:line="360" w:lineRule="auto"/>
              <w:rPr>
                <w:color w:val="000000"/>
              </w:rPr>
            </w:pPr>
            <w:r>
              <w:rPr>
                <w:rFonts w:hint="eastAsia" w:ascii="宋体" w:hAnsi="宋体" w:cs="宋体"/>
                <w:color w:val="000000"/>
              </w:rPr>
              <w:t xml:space="preserve">★</w:t>
            </w:r>
            <w:r>
              <w:rPr>
                <w:color w:val="000000"/>
              </w:rPr>
              <w:t xml:space="preserve">交换容量≥1.3Tbps，包转发率≥200Mpps，以官网最小值为准，提供官网截图证明 </w:t>
            </w:r>
            <w:r/>
          </w:p>
        </w:tc>
      </w:tr>
      <w:tr>
        <w:trPr>
          <w:trHeight w:val="563"/>
        </w:trPr>
        <w:tc>
          <w:tcPr>
            <w:tcW w:w="1715" w:type="dxa"/>
            <w:vAlign w:val="center"/>
            <w:textDirection w:val="lrTb"/>
            <w:noWrap/>
          </w:tcPr>
          <w:p>
            <w:pPr>
              <w:pStyle w:val="903"/>
              <w:jc w:val="center"/>
              <w:spacing w:line="360" w:lineRule="auto"/>
              <w:rPr>
                <w:color w:val="000000"/>
              </w:rPr>
            </w:pPr>
            <w:r>
              <w:rPr>
                <w:color w:val="000000"/>
              </w:rPr>
              <w:t xml:space="preserve">端口</w:t>
            </w:r>
            <w:r/>
          </w:p>
        </w:tc>
        <w:tc>
          <w:tcPr>
            <w:tcW w:w="7371" w:type="dxa"/>
            <w:vAlign w:val="center"/>
            <w:textDirection w:val="lrTb"/>
            <w:noWrap/>
          </w:tcPr>
          <w:p>
            <w:pPr>
              <w:pStyle w:val="903"/>
              <w:spacing w:line="360" w:lineRule="auto"/>
              <w:rPr>
                <w:color w:val="000000"/>
              </w:rPr>
            </w:pPr>
            <w:r>
              <w:rPr>
                <w:rFonts w:hint="eastAsia" w:ascii="宋体" w:hAnsi="宋体" w:cs="宋体"/>
                <w:color w:val="000000"/>
              </w:rPr>
              <w:t xml:space="preserve">★</w:t>
            </w:r>
            <w:r>
              <w:rPr>
                <w:color w:val="000000"/>
              </w:rPr>
              <w:t xml:space="preserve">48个10/100/1000BASE-T以太网端口，4个万兆SFP+，2个大于10G堆叠口，提供官网截图证明 </w:t>
            </w:r>
            <w:r/>
          </w:p>
        </w:tc>
      </w:tr>
      <w:tr>
        <w:trPr>
          <w:trHeight w:val="563"/>
        </w:trPr>
        <w:tc>
          <w:tcPr>
            <w:tcW w:w="1715" w:type="dxa"/>
            <w:vAlign w:val="center"/>
            <w:textDirection w:val="lrTb"/>
            <w:noWrap/>
          </w:tcPr>
          <w:p>
            <w:pPr>
              <w:pStyle w:val="903"/>
              <w:jc w:val="center"/>
              <w:spacing w:line="360" w:lineRule="auto"/>
              <w:rPr>
                <w:color w:val="000000"/>
              </w:rPr>
            </w:pPr>
            <w:r>
              <w:rPr>
                <w:color w:val="000000"/>
              </w:rPr>
              <w:t xml:space="preserve">复位按钮</w:t>
            </w:r>
            <w:r/>
          </w:p>
        </w:tc>
        <w:tc>
          <w:tcPr>
            <w:tcW w:w="7371" w:type="dxa"/>
            <w:vAlign w:val="center"/>
            <w:textDirection w:val="lrTb"/>
            <w:noWrap/>
          </w:tcPr>
          <w:p>
            <w:pPr>
              <w:pStyle w:val="903"/>
              <w:spacing w:line="360" w:lineRule="auto"/>
              <w:rPr>
                <w:color w:val="000000"/>
              </w:rPr>
            </w:pPr>
            <w:r>
              <w:rPr>
                <w:rFonts w:hint="eastAsia" w:ascii="宋体" w:hAnsi="宋体" w:cs="宋体"/>
                <w:color w:val="000000"/>
              </w:rPr>
              <w:t xml:space="preserve">★</w:t>
            </w:r>
            <w:r>
              <w:rPr>
                <w:color w:val="000000"/>
              </w:rPr>
              <w:t xml:space="preserve">设备支持复位按钮和清配置按钮，提供官网截图证明 </w:t>
            </w:r>
            <w:r/>
          </w:p>
        </w:tc>
      </w:tr>
      <w:tr>
        <w:trPr>
          <w:trHeight w:val="563"/>
        </w:trPr>
        <w:tc>
          <w:tcPr>
            <w:tcW w:w="1715" w:type="dxa"/>
            <w:vAlign w:val="center"/>
            <w:textDirection w:val="lrTb"/>
            <w:noWrap/>
          </w:tcPr>
          <w:p>
            <w:pPr>
              <w:pStyle w:val="903"/>
              <w:jc w:val="center"/>
              <w:spacing w:line="360" w:lineRule="auto"/>
              <w:rPr>
                <w:color w:val="000000"/>
              </w:rPr>
            </w:pPr>
            <w:r>
              <w:rPr>
                <w:color w:val="000000"/>
              </w:rPr>
              <w:t xml:space="preserve">硬件</w:t>
            </w:r>
            <w:r/>
          </w:p>
        </w:tc>
        <w:tc>
          <w:tcPr>
            <w:tcW w:w="7371" w:type="dxa"/>
            <w:vAlign w:val="center"/>
            <w:textDirection w:val="lrTb"/>
            <w:noWrap/>
          </w:tcPr>
          <w:p>
            <w:pPr>
              <w:pStyle w:val="903"/>
              <w:spacing w:line="360" w:lineRule="auto"/>
              <w:rPr>
                <w:color w:val="000000"/>
              </w:rPr>
            </w:pPr>
            <w:r>
              <w:rPr>
                <w:color w:val="000000"/>
              </w:rPr>
              <w:t xml:space="preserve">支持专用堆叠口，不占用业务口带宽</w:t>
            </w:r>
            <w:r/>
          </w:p>
        </w:tc>
      </w:tr>
      <w:tr>
        <w:trPr>
          <w:trHeight w:val="563"/>
        </w:trPr>
        <w:tc>
          <w:tcPr>
            <w:tcW w:w="1715" w:type="dxa"/>
            <w:vAlign w:val="center"/>
            <w:textDirection w:val="lrTb"/>
            <w:noWrap/>
          </w:tcPr>
          <w:p>
            <w:pPr>
              <w:pStyle w:val="903"/>
              <w:jc w:val="center"/>
              <w:spacing w:line="360" w:lineRule="auto"/>
              <w:rPr>
                <w:color w:val="000000"/>
              </w:rPr>
            </w:pPr>
            <w:r>
              <w:rPr>
                <w:color w:val="000000"/>
              </w:rPr>
              <w:t xml:space="preserve">国产化</w:t>
            </w:r>
            <w:r/>
          </w:p>
        </w:tc>
        <w:tc>
          <w:tcPr>
            <w:tcW w:w="7371" w:type="dxa"/>
            <w:vAlign w:val="center"/>
            <w:textDirection w:val="lrTb"/>
            <w:noWrap/>
          </w:tcPr>
          <w:p>
            <w:pPr>
              <w:pStyle w:val="903"/>
              <w:spacing w:line="360" w:lineRule="auto"/>
              <w:rPr>
                <w:color w:val="000000"/>
              </w:rPr>
            </w:pPr>
            <w:r>
              <w:rPr>
                <w:rFonts w:hint="eastAsia" w:ascii="宋体" w:hAnsi="宋体" w:cs="宋体"/>
                <w:color w:val="000000"/>
              </w:rPr>
              <w:t xml:space="preserve">★</w:t>
            </w:r>
            <w:r>
              <w:rPr>
                <w:color w:val="000000"/>
              </w:rPr>
              <w:t xml:space="preserve">采用国产CPU芯片和转发芯片，自主可控，提供第三方测试报告截图证明 </w:t>
            </w:r>
            <w:r/>
          </w:p>
        </w:tc>
      </w:tr>
      <w:tr>
        <w:trPr>
          <w:cantSplit/>
          <w:trHeight w:val="327"/>
        </w:trPr>
        <w:tc>
          <w:tcPr>
            <w:tcW w:w="1715" w:type="dxa"/>
            <w:vAlign w:val="center"/>
            <w:textDirection w:val="lrTb"/>
            <w:noWrap/>
          </w:tcPr>
          <w:p>
            <w:pPr>
              <w:pStyle w:val="903"/>
              <w:jc w:val="center"/>
              <w:spacing w:line="360" w:lineRule="auto"/>
              <w:rPr>
                <w:color w:val="000000"/>
              </w:rPr>
            </w:pPr>
            <w:r>
              <w:rPr>
                <w:color w:val="000000"/>
              </w:rPr>
              <w:t xml:space="preserve">三层</w:t>
            </w:r>
            <w:r/>
          </w:p>
        </w:tc>
        <w:tc>
          <w:tcPr>
            <w:tcW w:w="7371" w:type="dxa"/>
            <w:vAlign w:val="top"/>
            <w:textDirection w:val="lrTb"/>
            <w:noWrap w:val="false"/>
          </w:tcPr>
          <w:p>
            <w:pPr>
              <w:pStyle w:val="903"/>
              <w:spacing w:line="360" w:lineRule="auto"/>
              <w:rPr>
                <w:color w:val="000000"/>
              </w:rPr>
            </w:pPr>
            <w:r>
              <w:rPr>
                <w:color w:val="000000"/>
              </w:rPr>
              <w:t xml:space="preserve">支持静态路由、路由策略、策略路由，支持 RIP、RIPng、OSPF、OSPFv3、IS-IS、IS-ISv6、 BGP、BGP4+</w:t>
            </w:r>
            <w:r/>
          </w:p>
        </w:tc>
      </w:tr>
      <w:tr>
        <w:trPr>
          <w:cantSplit/>
          <w:trHeight w:val="669"/>
        </w:trPr>
        <w:tc>
          <w:tcPr>
            <w:tcW w:w="1715" w:type="dxa"/>
            <w:vAlign w:val="center"/>
            <w:textDirection w:val="lrTb"/>
            <w:noWrap/>
          </w:tcPr>
          <w:p>
            <w:pPr>
              <w:pStyle w:val="903"/>
              <w:jc w:val="center"/>
              <w:spacing w:line="360" w:lineRule="auto"/>
              <w:rPr>
                <w:color w:val="000000"/>
              </w:rPr>
            </w:pPr>
            <w:r>
              <w:rPr>
                <w:color w:val="000000"/>
              </w:rPr>
              <w:t xml:space="preserve">可靠性</w:t>
            </w:r>
            <w:r/>
          </w:p>
        </w:tc>
        <w:tc>
          <w:tcPr>
            <w:tcW w:w="7371" w:type="dxa"/>
            <w:vAlign w:val="center"/>
            <w:textDirection w:val="lrTb"/>
            <w:noWrap w:val="false"/>
          </w:tcPr>
          <w:p>
            <w:pPr>
              <w:pStyle w:val="903"/>
              <w:spacing w:line="360" w:lineRule="auto"/>
              <w:rPr>
                <w:color w:val="000000"/>
              </w:rPr>
            </w:pPr>
            <w:r>
              <w:rPr>
                <w:color w:val="000000"/>
              </w:rPr>
              <w:t xml:space="preserve">支持G.8032以太网环保护协议ERPS，切换时间≤50ms，可兼容其他支持该协议的产品</w:t>
            </w:r>
            <w:r/>
          </w:p>
        </w:tc>
      </w:tr>
      <w:tr>
        <w:trPr>
          <w:cantSplit/>
          <w:trHeight w:val="433"/>
        </w:trPr>
        <w:tc>
          <w:tcPr>
            <w:tcW w:w="1715" w:type="dxa"/>
            <w:vAlign w:val="center"/>
            <w:vMerge w:val="restart"/>
            <w:textDirection w:val="lrTb"/>
            <w:noWrap/>
          </w:tcPr>
          <w:p>
            <w:pPr>
              <w:pStyle w:val="903"/>
              <w:jc w:val="center"/>
              <w:spacing w:line="360" w:lineRule="auto"/>
              <w:rPr>
                <w:color w:val="000000"/>
              </w:rPr>
            </w:pPr>
            <w:r>
              <w:rPr>
                <w:color w:val="000000"/>
              </w:rPr>
              <w:t xml:space="preserve">安全</w:t>
            </w:r>
            <w:r/>
          </w:p>
        </w:tc>
        <w:tc>
          <w:tcPr>
            <w:tcW w:w="7371" w:type="dxa"/>
            <w:vAlign w:val="center"/>
            <w:textDirection w:val="lrTb"/>
            <w:noWrap w:val="false"/>
          </w:tcPr>
          <w:p>
            <w:pPr>
              <w:pStyle w:val="903"/>
              <w:spacing w:line="360" w:lineRule="auto"/>
              <w:rPr>
                <w:color w:val="000000"/>
              </w:rPr>
            </w:pPr>
            <w:r>
              <w:rPr>
                <w:rFonts w:hint="eastAsia" w:ascii="宋体" w:hAnsi="宋体" w:cs="宋体"/>
                <w:color w:val="000000"/>
              </w:rPr>
              <w:t xml:space="preserve">★</w:t>
            </w:r>
            <w:r>
              <w:rPr>
                <w:color w:val="000000"/>
              </w:rPr>
              <w:t xml:space="preserve">支持安全特性：IP Source Guard、DAI、攻击溯源等，提供第三方测试报告截图证明</w:t>
            </w:r>
            <w:r/>
          </w:p>
        </w:tc>
      </w:tr>
      <w:tr>
        <w:trPr>
          <w:cantSplit/>
          <w:trHeight w:val="433"/>
        </w:trPr>
        <w:tc>
          <w:tcPr>
            <w:tcW w:w="1715" w:type="dxa"/>
            <w:vAlign w:val="center"/>
            <w:vMerge w:val="continue"/>
            <w:textDirection w:val="lrTb"/>
            <w:noWrap/>
          </w:tcPr>
          <w:p>
            <w:pPr>
              <w:pStyle w:val="903"/>
              <w:jc w:val="center"/>
              <w:spacing w:line="360" w:lineRule="auto"/>
              <w:rPr>
                <w:color w:val="000000"/>
              </w:rPr>
            </w:pPr>
            <w:r>
              <w:rPr>
                <w:color w:val="000000"/>
              </w:rPr>
            </w:r>
            <w:r/>
          </w:p>
        </w:tc>
        <w:tc>
          <w:tcPr>
            <w:tcW w:w="7371" w:type="dxa"/>
            <w:vAlign w:val="center"/>
            <w:textDirection w:val="lrTb"/>
            <w:noWrap w:val="false"/>
          </w:tcPr>
          <w:p>
            <w:pPr>
              <w:pStyle w:val="903"/>
              <w:spacing w:line="360" w:lineRule="auto"/>
              <w:rPr>
                <w:color w:val="000000"/>
              </w:rPr>
            </w:pPr>
            <w:r>
              <w:rPr>
                <w:color w:val="000000"/>
              </w:rPr>
              <w:t xml:space="preserve">支持防DOS攻击、支持防ARP攻击、支持防ICMP攻击、支持CPU保护</w:t>
            </w:r>
            <w:r/>
          </w:p>
        </w:tc>
      </w:tr>
      <w:tr>
        <w:trPr>
          <w:cantSplit/>
          <w:trHeight w:val="433"/>
        </w:trPr>
        <w:tc>
          <w:tcPr>
            <w:tcW w:w="1715" w:type="dxa"/>
            <w:vAlign w:val="center"/>
            <w:textDirection w:val="lrTb"/>
            <w:noWrap/>
          </w:tcPr>
          <w:p>
            <w:pPr>
              <w:pStyle w:val="903"/>
              <w:jc w:val="center"/>
              <w:spacing w:line="360" w:lineRule="auto"/>
              <w:rPr>
                <w:color w:val="000000"/>
              </w:rPr>
            </w:pPr>
            <w:r>
              <w:rPr>
                <w:color w:val="000000"/>
              </w:rPr>
              <w:t xml:space="preserve">堆叠</w:t>
            </w:r>
            <w:r/>
          </w:p>
        </w:tc>
        <w:tc>
          <w:tcPr>
            <w:tcW w:w="7371" w:type="dxa"/>
            <w:vAlign w:val="center"/>
            <w:textDirection w:val="lrTb"/>
            <w:noWrap w:val="false"/>
          </w:tcPr>
          <w:p>
            <w:pPr>
              <w:pStyle w:val="903"/>
              <w:spacing w:line="360" w:lineRule="auto"/>
              <w:rPr>
                <w:color w:val="000000"/>
              </w:rPr>
            </w:pPr>
            <w:r>
              <w:rPr>
                <w:color w:val="000000"/>
              </w:rPr>
              <w:t xml:space="preserve">支持设备堆叠</w:t>
            </w:r>
            <w:r/>
          </w:p>
        </w:tc>
      </w:tr>
      <w:tr>
        <w:trPr>
          <w:cantSplit/>
          <w:trHeight w:val="280"/>
        </w:trPr>
        <w:tc>
          <w:tcPr>
            <w:tcW w:w="1715" w:type="dxa"/>
            <w:vAlign w:val="center"/>
            <w:textDirection w:val="lrTb"/>
            <w:noWrap/>
          </w:tcPr>
          <w:p>
            <w:pPr>
              <w:pStyle w:val="903"/>
              <w:jc w:val="center"/>
              <w:spacing w:line="360" w:lineRule="auto"/>
              <w:rPr>
                <w:color w:val="000000"/>
              </w:rPr>
            </w:pPr>
            <w:r>
              <w:rPr>
                <w:color w:val="000000"/>
              </w:rPr>
              <w:t xml:space="preserve">网络切片功能</w:t>
            </w:r>
            <w:r/>
          </w:p>
        </w:tc>
        <w:tc>
          <w:tcPr>
            <w:tcW w:w="7371" w:type="dxa"/>
            <w:vAlign w:val="center"/>
            <w:textDirection w:val="lrTb"/>
            <w:noWrap/>
          </w:tcPr>
          <w:p>
            <w:pPr>
              <w:pStyle w:val="903"/>
              <w:spacing w:line="360" w:lineRule="auto"/>
              <w:rPr>
                <w:color w:val="000000"/>
              </w:rPr>
            </w:pPr>
            <w:r>
              <w:rPr>
                <w:rFonts w:hint="eastAsia" w:ascii="宋体" w:hAnsi="宋体" w:cs="宋体"/>
                <w:color w:val="000000"/>
              </w:rPr>
              <w:t xml:space="preserve">★</w:t>
            </w:r>
            <w:r>
              <w:rPr>
                <w:color w:val="000000"/>
              </w:rPr>
              <w:t xml:space="preserve">支持网络分片功能，提供第三方测试报告截图证明</w:t>
            </w:r>
            <w:r/>
          </w:p>
        </w:tc>
      </w:tr>
      <w:tr>
        <w:trPr>
          <w:cantSplit/>
          <w:trHeight w:val="567"/>
        </w:trPr>
        <w:tc>
          <w:tcPr>
            <w:tcW w:w="1715" w:type="dxa"/>
            <w:vAlign w:val="center"/>
            <w:textDirection w:val="lrTb"/>
            <w:noWrap w:val="false"/>
          </w:tcPr>
          <w:p>
            <w:pPr>
              <w:pStyle w:val="903"/>
              <w:jc w:val="center"/>
              <w:spacing w:line="360" w:lineRule="auto"/>
              <w:rPr>
                <w:color w:val="000000"/>
              </w:rPr>
            </w:pPr>
            <w:r>
              <w:rPr>
                <w:color w:val="000000"/>
              </w:rPr>
              <w:t xml:space="preserve">智能运维</w:t>
            </w:r>
            <w:r/>
          </w:p>
        </w:tc>
        <w:tc>
          <w:tcPr>
            <w:tcW w:w="7371" w:type="dxa"/>
            <w:vAlign w:val="center"/>
            <w:textDirection w:val="lrTb"/>
            <w:noWrap/>
          </w:tcPr>
          <w:p>
            <w:pPr>
              <w:pStyle w:val="903"/>
              <w:spacing w:line="360" w:lineRule="auto"/>
              <w:rPr>
                <w:color w:val="000000"/>
              </w:rPr>
            </w:pPr>
            <w:r>
              <w:rPr>
                <w:color w:val="000000"/>
              </w:rPr>
              <w:t xml:space="preserve">支持Telemetry </w:t>
            </w:r>
            <w:r/>
          </w:p>
        </w:tc>
      </w:tr>
      <w:tr>
        <w:trPr>
          <w:cantSplit/>
          <w:trHeight w:val="984"/>
        </w:trPr>
        <w:tc>
          <w:tcPr>
            <w:tcW w:w="1715" w:type="dxa"/>
            <w:vAlign w:val="center"/>
            <w:textDirection w:val="lrTb"/>
            <w:noWrap w:val="false"/>
          </w:tcPr>
          <w:p>
            <w:pPr>
              <w:pStyle w:val="903"/>
              <w:jc w:val="center"/>
              <w:spacing w:line="360" w:lineRule="auto"/>
              <w:rPr>
                <w:b/>
                <w:color w:val="000000"/>
              </w:rPr>
            </w:pPr>
            <w:r>
              <w:rPr>
                <w:b/>
                <w:i/>
                <w:color w:val="000000"/>
                <w:u w:val="single"/>
              </w:rPr>
              <w:t xml:space="preserve">配置要求</w:t>
            </w:r>
            <w:r>
              <w:rPr>
                <w:b/>
                <w:color w:val="000000"/>
              </w:rPr>
            </w:r>
            <w:r/>
          </w:p>
        </w:tc>
        <w:tc>
          <w:tcPr>
            <w:tcW w:w="7371" w:type="dxa"/>
            <w:vAlign w:val="center"/>
            <w:textDirection w:val="lrTb"/>
            <w:noWrap/>
          </w:tcPr>
          <w:p>
            <w:pPr>
              <w:pStyle w:val="903"/>
              <w:spacing w:line="360" w:lineRule="auto"/>
              <w:rPr>
                <w:b/>
                <w:color w:val="000000"/>
              </w:rPr>
            </w:pPr>
            <w:r>
              <w:rPr>
                <w:b/>
                <w:i/>
                <w:iCs/>
                <w:color w:val="000000"/>
                <w:u w:val="single"/>
              </w:rPr>
              <w:t xml:space="preserve">10/100/1000BASE-T以太网端口≥48，万兆光口≥4，大于10GE堆叠口≥2，交流电源模块*2，高速专用堆叠电缆-1.5M*1，万兆多模模块≥4，三年质保服务；</w:t>
            </w:r>
            <w:r>
              <w:rPr>
                <w:b/>
                <w:color w:val="000000"/>
              </w:rPr>
            </w:r>
            <w:r/>
          </w:p>
        </w:tc>
      </w:tr>
    </w:tbl>
    <w:p>
      <w:pPr>
        <w:pStyle w:val="903"/>
        <w:ind w:firstLine="480"/>
        <w:rPr>
          <w:color w:val="000000"/>
          <w:sz w:val="24"/>
        </w:rPr>
      </w:pPr>
      <w:r>
        <w:rPr>
          <w:color w:val="000000"/>
          <w:sz w:val="24"/>
        </w:rPr>
      </w:r>
      <w:r/>
    </w:p>
    <w:p>
      <w:pPr>
        <w:pStyle w:val="918"/>
        <w:rPr>
          <w:color w:val="000000"/>
        </w:rPr>
      </w:pPr>
      <w:r>
        <w:rPr>
          <w:color w:val="000000"/>
        </w:rPr>
      </w:r>
      <w:r/>
    </w:p>
    <w:p>
      <w:pPr>
        <w:pStyle w:val="907"/>
        <w:numPr>
          <w:ilvl w:val="0"/>
          <w:numId w:val="7"/>
        </w:numPr>
        <w:spacing w:before="0" w:after="0" w:line="360" w:lineRule="auto"/>
        <w:rPr>
          <w:rFonts w:ascii="Times New Roman" w:hAnsi="Times New Roman"/>
          <w:color w:val="000000"/>
        </w:rPr>
      </w:pPr>
      <w:r>
        <w:rPr>
          <w:rFonts w:ascii="Times New Roman" w:hAnsi="Times New Roman"/>
          <w:color w:val="000000"/>
        </w:rPr>
        <w:t xml:space="preserve">灾备机房及配套监控服务</w:t>
      </w:r>
      <w:r/>
    </w:p>
    <w:p>
      <w:pPr>
        <w:pStyle w:val="903"/>
        <w:ind w:firstLine="440"/>
        <w:spacing w:line="360" w:lineRule="auto"/>
        <w:tabs>
          <w:tab w:val="left" w:pos="0" w:leader="none"/>
        </w:tabs>
        <w:rPr>
          <w:color w:val="000000"/>
          <w:sz w:val="28"/>
          <w:szCs w:val="28"/>
        </w:rPr>
      </w:pPr>
      <w:r>
        <w:rPr>
          <w:color w:val="000000"/>
          <w:sz w:val="28"/>
          <w:szCs w:val="28"/>
        </w:rPr>
        <w:t xml:space="preserve">灾备机房及配套监控服务</w:t>
      </w:r>
      <w:r/>
    </w:p>
    <w:p>
      <w:pPr>
        <w:pStyle w:val="903"/>
        <w:ind w:firstLine="440"/>
        <w:spacing w:line="360" w:lineRule="auto"/>
        <w:tabs>
          <w:tab w:val="left" w:pos="0" w:leader="none"/>
        </w:tabs>
        <w:rPr>
          <w:color w:val="000000"/>
        </w:rPr>
      </w:pPr>
      <w:r>
        <w:rPr>
          <w:color w:val="000000"/>
          <w:sz w:val="20"/>
          <w:szCs w:val="20"/>
        </w:rPr>
        <w:t xml:space="preserve">（</w:t>
      </w:r>
      <w:r>
        <w:rPr>
          <w:color w:val="000000"/>
        </w:rPr>
        <w:t xml:space="preserve">1）机房要求</w:t>
      </w:r>
      <w:r/>
    </w:p>
    <w:tbl>
      <w:tblPr>
        <w:tblW w:w="5891"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7"/>
        <w:gridCol w:w="4404"/>
      </w:tblGrid>
      <w:tr>
        <w:trPr>
          <w:trHeight w:val="160"/>
          <w:tblHeader/>
        </w:trPr>
        <w:tc>
          <w:tcPr>
            <w:shd w:val="clear" w:color="auto" w:fill="bebebe"/>
            <w:tcW w:w="1487" w:type="dxa"/>
            <w:vAlign w:val="center"/>
            <w:textDirection w:val="lrTb"/>
            <w:noWrap w:val="false"/>
          </w:tcPr>
          <w:p>
            <w:pPr>
              <w:pStyle w:val="903"/>
              <w:rPr>
                <w:color w:val="000000"/>
              </w:rPr>
            </w:pPr>
            <w:r>
              <w:rPr>
                <w:color w:val="000000"/>
              </w:rPr>
              <w:t xml:space="preserve">子项</w:t>
            </w:r>
            <w:r/>
          </w:p>
        </w:tc>
        <w:tc>
          <w:tcPr>
            <w:shd w:val="clear" w:color="auto" w:fill="bebebe"/>
            <w:tcW w:w="4404" w:type="dxa"/>
            <w:vAlign w:val="center"/>
            <w:textDirection w:val="lrTb"/>
            <w:noWrap w:val="false"/>
          </w:tcPr>
          <w:p>
            <w:pPr>
              <w:pStyle w:val="903"/>
              <w:rPr>
                <w:color w:val="000000"/>
              </w:rPr>
            </w:pPr>
            <w:r>
              <w:rPr>
                <w:color w:val="000000"/>
              </w:rPr>
            </w:r>
            <w:r/>
          </w:p>
        </w:tc>
      </w:tr>
      <w:tr>
        <w:trPr>
          <w:trHeight w:val="540"/>
        </w:trPr>
        <w:tc>
          <w:tcPr>
            <w:tcW w:w="1487" w:type="dxa"/>
            <w:vAlign w:val="center"/>
            <w:textDirection w:val="lrTb"/>
            <w:noWrap w:val="false"/>
          </w:tcPr>
          <w:p>
            <w:pPr>
              <w:pStyle w:val="903"/>
              <w:rPr>
                <w:color w:val="000000"/>
              </w:rPr>
            </w:pPr>
            <w:r>
              <w:rPr>
                <w:color w:val="000000"/>
              </w:rPr>
              <w:t xml:space="preserve">机房等级</w:t>
            </w:r>
            <w:r/>
          </w:p>
        </w:tc>
        <w:tc>
          <w:tcPr>
            <w:tcW w:w="4404" w:type="dxa"/>
            <w:vAlign w:val="center"/>
            <w:textDirection w:val="lrTb"/>
            <w:noWrap w:val="false"/>
          </w:tcPr>
          <w:p>
            <w:pPr>
              <w:pStyle w:val="903"/>
              <w:rPr>
                <w:color w:val="000000"/>
              </w:rPr>
            </w:pPr>
            <w:r>
              <w:rPr>
                <w:color w:val="000000"/>
              </w:rPr>
              <w:t xml:space="preserve">满足数据中心设计规范（GB50174-2017）A级标准</w:t>
            </w:r>
            <w:r/>
          </w:p>
        </w:tc>
      </w:tr>
      <w:tr>
        <w:trPr>
          <w:trHeight w:val="793"/>
        </w:trPr>
        <w:tc>
          <w:tcPr>
            <w:tcW w:w="1487" w:type="dxa"/>
            <w:vAlign w:val="center"/>
            <w:textDirection w:val="lrTb"/>
            <w:noWrap w:val="false"/>
          </w:tcPr>
          <w:p>
            <w:pPr>
              <w:pStyle w:val="903"/>
              <w:rPr>
                <w:color w:val="000000"/>
              </w:rPr>
            </w:pPr>
            <w:r>
              <w:rPr>
                <w:color w:val="000000"/>
              </w:rPr>
              <w:t xml:space="preserve">机柜数量</w:t>
            </w:r>
            <w:r/>
          </w:p>
        </w:tc>
        <w:tc>
          <w:tcPr>
            <w:tcW w:w="4404" w:type="dxa"/>
            <w:vAlign w:val="center"/>
            <w:textDirection w:val="lrTb"/>
            <w:noWrap w:val="false"/>
          </w:tcPr>
          <w:p>
            <w:pPr>
              <w:pStyle w:val="903"/>
              <w:rPr>
                <w:color w:val="000000"/>
              </w:rPr>
            </w:pPr>
            <w:r>
              <w:rPr>
                <w:color w:val="000000"/>
              </w:rPr>
              <w:t xml:space="preserve">可提供600*1200*2000mm机柜至少8个，并可随时扩容</w:t>
            </w:r>
            <w:r/>
          </w:p>
        </w:tc>
      </w:tr>
      <w:tr>
        <w:trPr>
          <w:trHeight w:val="555"/>
        </w:trPr>
        <w:tc>
          <w:tcPr>
            <w:tcW w:w="1487" w:type="dxa"/>
            <w:vAlign w:val="center"/>
            <w:textDirection w:val="lrTb"/>
            <w:noWrap w:val="false"/>
          </w:tcPr>
          <w:p>
            <w:pPr>
              <w:pStyle w:val="903"/>
              <w:rPr>
                <w:color w:val="000000"/>
              </w:rPr>
            </w:pPr>
            <w:r>
              <w:rPr>
                <w:color w:val="000000"/>
              </w:rPr>
              <w:t xml:space="preserve">网络接入情况</w:t>
            </w:r>
            <w:r/>
          </w:p>
        </w:tc>
        <w:tc>
          <w:tcPr>
            <w:tcW w:w="4404" w:type="dxa"/>
            <w:vAlign w:val="center"/>
            <w:textDirection w:val="lrTb"/>
            <w:noWrap w:val="false"/>
          </w:tcPr>
          <w:p>
            <w:pPr>
              <w:pStyle w:val="903"/>
              <w:rPr>
                <w:color w:val="000000"/>
              </w:rPr>
            </w:pPr>
            <w:r>
              <w:rPr>
                <w:color w:val="000000"/>
              </w:rPr>
              <w:t xml:space="preserve">可接入裸光纤、运营商线路、电子政务外网</w:t>
            </w:r>
            <w:r/>
          </w:p>
        </w:tc>
      </w:tr>
    </w:tbl>
    <w:p>
      <w:pPr>
        <w:pStyle w:val="903"/>
        <w:ind w:firstLine="440"/>
        <w:spacing w:line="360" w:lineRule="auto"/>
        <w:tabs>
          <w:tab w:val="left" w:pos="0" w:leader="none"/>
        </w:tabs>
        <w:rPr>
          <w:color w:val="000000"/>
        </w:rPr>
      </w:pPr>
      <w:r>
        <w:rPr>
          <w:color w:val="000000"/>
        </w:rPr>
        <w:t xml:space="preserve">（2）机柜要求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7498"/>
      </w:tblGrid>
      <w:tr>
        <w:trPr/>
        <w:tc>
          <w:tcPr>
            <w:shd w:val="clear" w:color="auto" w:fill="d9d9d9"/>
            <w:tcW w:w="1671" w:type="dxa"/>
            <w:vAlign w:val="center"/>
            <w:textDirection w:val="lrTb"/>
            <w:noWrap w:val="false"/>
          </w:tcPr>
          <w:p>
            <w:pPr>
              <w:pStyle w:val="903"/>
              <w:rPr>
                <w:color w:val="000000"/>
              </w:rPr>
            </w:pPr>
            <w:r>
              <w:rPr>
                <w:color w:val="000000"/>
              </w:rPr>
              <w:t xml:space="preserve">指标项</w:t>
            </w:r>
            <w:r/>
          </w:p>
        </w:tc>
        <w:tc>
          <w:tcPr>
            <w:shd w:val="clear" w:color="auto" w:fill="d9d9d9"/>
            <w:tcW w:w="7498" w:type="dxa"/>
            <w:vAlign w:val="center"/>
            <w:textDirection w:val="lrTb"/>
            <w:noWrap w:val="false"/>
          </w:tcPr>
          <w:p>
            <w:pPr>
              <w:pStyle w:val="903"/>
              <w:rPr>
                <w:color w:val="000000"/>
              </w:rPr>
            </w:pPr>
            <w:r>
              <w:rPr>
                <w:color w:val="000000"/>
              </w:rPr>
              <w:t xml:space="preserve">技术参数要求</w:t>
            </w:r>
            <w:r/>
          </w:p>
        </w:tc>
      </w:tr>
      <w:tr>
        <w:trPr>
          <w:trHeight w:val="443"/>
        </w:trPr>
        <w:tc>
          <w:tcPr>
            <w:tcW w:w="1671" w:type="dxa"/>
            <w:vAlign w:val="center"/>
            <w:textDirection w:val="lrTb"/>
            <w:noWrap w:val="false"/>
          </w:tcPr>
          <w:p>
            <w:pPr>
              <w:pStyle w:val="903"/>
              <w:rPr>
                <w:color w:val="000000"/>
              </w:rPr>
            </w:pPr>
            <w:r>
              <w:rPr>
                <w:color w:val="000000"/>
              </w:rPr>
              <w:t xml:space="preserve">数量</w:t>
            </w:r>
            <w:r/>
          </w:p>
        </w:tc>
        <w:tc>
          <w:tcPr>
            <w:tcW w:w="7498" w:type="dxa"/>
            <w:vAlign w:val="center"/>
            <w:textDirection w:val="lrTb"/>
            <w:noWrap w:val="false"/>
          </w:tcPr>
          <w:p>
            <w:pPr>
              <w:pStyle w:val="903"/>
              <w:jc w:val="left"/>
              <w:widowControl/>
              <w:rPr>
                <w:b/>
                <w:color w:val="000000"/>
              </w:rPr>
            </w:pPr>
            <w:r>
              <w:rPr>
                <w:b/>
                <w:i/>
                <w:color w:val="000000"/>
                <w:u w:val="single"/>
              </w:rPr>
              <w:t xml:space="preserve">≥1个连续机柜。</w:t>
            </w:r>
            <w:r>
              <w:rPr>
                <w:b/>
                <w:color w:val="000000"/>
              </w:rPr>
            </w:r>
            <w:r/>
          </w:p>
        </w:tc>
      </w:tr>
      <w:tr>
        <w:trPr>
          <w:trHeight w:val="421"/>
        </w:trPr>
        <w:tc>
          <w:tcPr>
            <w:tcW w:w="1671" w:type="dxa"/>
            <w:vAlign w:val="center"/>
            <w:textDirection w:val="lrTb"/>
            <w:noWrap w:val="false"/>
          </w:tcPr>
          <w:p>
            <w:pPr>
              <w:pStyle w:val="903"/>
              <w:rPr>
                <w:color w:val="000000"/>
              </w:rPr>
            </w:pPr>
            <w:r>
              <w:rPr>
                <w:color w:val="000000"/>
              </w:rPr>
              <w:t xml:space="preserve">环境</w:t>
            </w:r>
            <w:r/>
          </w:p>
        </w:tc>
        <w:tc>
          <w:tcPr>
            <w:tcW w:w="7498" w:type="dxa"/>
            <w:vAlign w:val="center"/>
            <w:textDirection w:val="lrTb"/>
            <w:noWrap w:val="false"/>
          </w:tcPr>
          <w:p>
            <w:pPr>
              <w:pStyle w:val="903"/>
              <w:rPr>
                <w:color w:val="000000"/>
              </w:rPr>
            </w:pPr>
            <w:r>
              <w:rPr>
                <w:color w:val="000000"/>
              </w:rPr>
              <w:t xml:space="preserve">需配备独立冷通道、封闭隔断或独立包间；具有桥架和配线架。</w:t>
            </w:r>
            <w:r/>
          </w:p>
        </w:tc>
      </w:tr>
      <w:tr>
        <w:trPr>
          <w:trHeight w:val="421"/>
        </w:trPr>
        <w:tc>
          <w:tcPr>
            <w:tcW w:w="1671" w:type="dxa"/>
            <w:vAlign w:val="center"/>
            <w:textDirection w:val="lrTb"/>
            <w:noWrap w:val="false"/>
          </w:tcPr>
          <w:p>
            <w:pPr>
              <w:pStyle w:val="903"/>
              <w:rPr>
                <w:color w:val="000000"/>
              </w:rPr>
            </w:pPr>
            <w:r>
              <w:rPr>
                <w:color w:val="000000"/>
              </w:rPr>
              <w:t xml:space="preserve">供电要求</w:t>
            </w:r>
            <w:r/>
          </w:p>
        </w:tc>
        <w:tc>
          <w:tcPr>
            <w:tcW w:w="7498" w:type="dxa"/>
            <w:vAlign w:val="center"/>
            <w:textDirection w:val="lrTb"/>
            <w:noWrap w:val="false"/>
          </w:tcPr>
          <w:p>
            <w:pPr>
              <w:pStyle w:val="903"/>
              <w:rPr>
                <w:color w:val="000000"/>
              </w:rPr>
            </w:pPr>
            <w:r>
              <w:rPr>
                <w:color w:val="000000"/>
              </w:rPr>
              <w:t xml:space="preserve">单机柜≥3KW</w:t>
            </w:r>
            <w:r/>
          </w:p>
        </w:tc>
      </w:tr>
      <w:tr>
        <w:trPr>
          <w:trHeight w:val="90"/>
        </w:trPr>
        <w:tc>
          <w:tcPr>
            <w:tcW w:w="1671" w:type="dxa"/>
            <w:vAlign w:val="center"/>
            <w:textDirection w:val="lrTb"/>
            <w:noWrap w:val="false"/>
          </w:tcPr>
          <w:p>
            <w:pPr>
              <w:pStyle w:val="903"/>
              <w:rPr>
                <w:color w:val="000000"/>
              </w:rPr>
            </w:pPr>
            <w:r>
              <w:rPr>
                <w:color w:val="000000"/>
              </w:rPr>
              <w:t xml:space="preserve">预留</w:t>
            </w:r>
            <w:r/>
          </w:p>
        </w:tc>
        <w:tc>
          <w:tcPr>
            <w:tcW w:w="7498" w:type="dxa"/>
            <w:vAlign w:val="center"/>
            <w:textDirection w:val="lrTb"/>
            <w:noWrap w:val="false"/>
          </w:tcPr>
          <w:p>
            <w:pPr>
              <w:pStyle w:val="903"/>
              <w:rPr>
                <w:color w:val="000000"/>
              </w:rPr>
            </w:pPr>
            <w:r>
              <w:rPr>
                <w:color w:val="000000"/>
              </w:rPr>
              <w:t xml:space="preserve">在同包间（同包间满在紧邻包间）内预留4个机柜</w:t>
            </w:r>
            <w:r/>
          </w:p>
        </w:tc>
      </w:tr>
      <w:tr>
        <w:trPr/>
        <w:tc>
          <w:tcPr>
            <w:tcW w:w="1671" w:type="dxa"/>
            <w:vAlign w:val="center"/>
            <w:textDirection w:val="lrTb"/>
            <w:noWrap w:val="false"/>
          </w:tcPr>
          <w:p>
            <w:pPr>
              <w:pStyle w:val="903"/>
              <w:rPr>
                <w:color w:val="000000"/>
              </w:rPr>
            </w:pPr>
            <w:r>
              <w:rPr>
                <w:color w:val="000000"/>
              </w:rPr>
              <w:t xml:space="preserve">尺寸</w:t>
            </w:r>
            <w:r/>
          </w:p>
        </w:tc>
        <w:tc>
          <w:tcPr>
            <w:tcW w:w="7498" w:type="dxa"/>
            <w:vAlign w:val="center"/>
            <w:textDirection w:val="lrTb"/>
            <w:noWrap w:val="false"/>
          </w:tcPr>
          <w:p>
            <w:pPr>
              <w:pStyle w:val="903"/>
              <w:rPr>
                <w:color w:val="000000"/>
              </w:rPr>
            </w:pPr>
            <w:r>
              <w:rPr>
                <w:color w:val="000000"/>
              </w:rPr>
              <w:t xml:space="preserve">42U 机柜，尺寸≥600mm×1100mm×2200mm</w:t>
            </w:r>
            <w:r/>
          </w:p>
        </w:tc>
      </w:tr>
      <w:tr>
        <w:trPr/>
        <w:tc>
          <w:tcPr>
            <w:tcW w:w="1671" w:type="dxa"/>
            <w:vAlign w:val="center"/>
            <w:textDirection w:val="lrTb"/>
            <w:noWrap w:val="false"/>
          </w:tcPr>
          <w:p>
            <w:pPr>
              <w:pStyle w:val="903"/>
              <w:rPr>
                <w:color w:val="000000"/>
              </w:rPr>
            </w:pPr>
            <w:r>
              <w:rPr>
                <w:color w:val="000000"/>
              </w:rPr>
              <w:t xml:space="preserve">综合布线</w:t>
            </w:r>
            <w:r/>
          </w:p>
        </w:tc>
        <w:tc>
          <w:tcPr>
            <w:tcW w:w="7498" w:type="dxa"/>
            <w:vAlign w:val="center"/>
            <w:textDirection w:val="lrTb"/>
            <w:noWrap w:val="false"/>
          </w:tcPr>
          <w:p>
            <w:pPr>
              <w:pStyle w:val="903"/>
              <w:rPr>
                <w:color w:val="000000"/>
              </w:rPr>
            </w:pPr>
            <w:r>
              <w:rPr>
                <w:color w:val="000000"/>
              </w:rPr>
              <w:t xml:space="preserve">每个机柜都有独立的六类线和多模光纤直通网络机柜，并可根据实际需要新增六类线和多模光纤。</w:t>
            </w:r>
            <w:r/>
          </w:p>
        </w:tc>
      </w:tr>
      <w:tr>
        <w:trPr>
          <w:cantSplit/>
        </w:trPr>
        <w:tc>
          <w:tcPr>
            <w:tcW w:w="1671" w:type="dxa"/>
            <w:vAlign w:val="center"/>
            <w:vMerge w:val="restart"/>
            <w:textDirection w:val="lrTb"/>
            <w:noWrap w:val="false"/>
          </w:tcPr>
          <w:p>
            <w:pPr>
              <w:pStyle w:val="903"/>
              <w:rPr>
                <w:color w:val="000000"/>
              </w:rPr>
            </w:pPr>
            <w:r>
              <w:rPr>
                <w:color w:val="000000"/>
              </w:rPr>
              <w:t xml:space="preserve">配电单元</w:t>
            </w:r>
            <w:r/>
          </w:p>
        </w:tc>
        <w:tc>
          <w:tcPr>
            <w:tcW w:w="7498" w:type="dxa"/>
            <w:vAlign w:val="center"/>
            <w:textDirection w:val="lrTb"/>
            <w:noWrap w:val="false"/>
          </w:tcPr>
          <w:p>
            <w:pPr>
              <w:pStyle w:val="903"/>
              <w:rPr>
                <w:color w:val="000000"/>
              </w:rPr>
            </w:pPr>
            <w:r>
              <w:rPr>
                <w:color w:val="000000"/>
              </w:rPr>
              <w:t xml:space="preserve">每个机柜配置2个分别来自于不同UPS的机架式垂直PDU。</w:t>
            </w:r>
            <w:r/>
          </w:p>
        </w:tc>
      </w:tr>
      <w:tr>
        <w:trPr>
          <w:cantSplit/>
          <w:trHeight w:val="246"/>
        </w:trPr>
        <w:tc>
          <w:tcPr>
            <w:tcW w:w="1671" w:type="dxa"/>
            <w:vAlign w:val="center"/>
            <w:vMerge w:val="continue"/>
            <w:textDirection w:val="lrTb"/>
            <w:noWrap w:val="false"/>
          </w:tcPr>
          <w:p>
            <w:pPr>
              <w:pStyle w:val="903"/>
              <w:rPr>
                <w:color w:val="000000"/>
              </w:rPr>
            </w:pPr>
            <w:r>
              <w:rPr>
                <w:color w:val="000000"/>
              </w:rPr>
            </w:r>
            <w:r/>
          </w:p>
        </w:tc>
        <w:tc>
          <w:tcPr>
            <w:tcW w:w="7498" w:type="dxa"/>
            <w:vAlign w:val="center"/>
            <w:textDirection w:val="lrTb"/>
            <w:noWrap w:val="false"/>
          </w:tcPr>
          <w:p>
            <w:pPr>
              <w:pStyle w:val="903"/>
              <w:rPr>
                <w:color w:val="000000"/>
              </w:rPr>
            </w:pPr>
            <w:r>
              <w:rPr>
                <w:color w:val="000000"/>
              </w:rPr>
              <w:t xml:space="preserve">每个PDU供电能力≥30A</w:t>
            </w:r>
            <w:r/>
          </w:p>
        </w:tc>
      </w:tr>
      <w:tr>
        <w:trPr>
          <w:cantSplit/>
        </w:trPr>
        <w:tc>
          <w:tcPr>
            <w:tcW w:w="1671" w:type="dxa"/>
            <w:vAlign w:val="center"/>
            <w:vMerge w:val="continue"/>
            <w:textDirection w:val="lrTb"/>
            <w:noWrap w:val="false"/>
          </w:tcPr>
          <w:p>
            <w:pPr>
              <w:pStyle w:val="903"/>
              <w:rPr>
                <w:color w:val="000000"/>
              </w:rPr>
            </w:pPr>
            <w:r>
              <w:rPr>
                <w:color w:val="000000"/>
              </w:rPr>
            </w:r>
            <w:r/>
          </w:p>
        </w:tc>
        <w:tc>
          <w:tcPr>
            <w:tcW w:w="7498" w:type="dxa"/>
            <w:vAlign w:val="center"/>
            <w:textDirection w:val="lrTb"/>
            <w:noWrap w:val="false"/>
          </w:tcPr>
          <w:p>
            <w:pPr>
              <w:pStyle w:val="903"/>
              <w:rPr>
                <w:color w:val="000000"/>
              </w:rPr>
            </w:pPr>
            <w:r>
              <w:rPr>
                <w:color w:val="000000"/>
              </w:rPr>
              <w:t xml:space="preserve">每个PDU的C13接口数≥13，每个PDU的C19接口数≥3。</w:t>
            </w:r>
            <w:r/>
          </w:p>
        </w:tc>
      </w:tr>
      <w:tr>
        <w:trPr>
          <w:cantSplit/>
        </w:trPr>
        <w:tc>
          <w:tcPr>
            <w:tcW w:w="1671" w:type="dxa"/>
            <w:vAlign w:val="center"/>
            <w:vMerge w:val="continue"/>
            <w:textDirection w:val="lrTb"/>
            <w:noWrap w:val="false"/>
          </w:tcPr>
          <w:p>
            <w:pPr>
              <w:pStyle w:val="903"/>
              <w:rPr>
                <w:color w:val="000000"/>
              </w:rPr>
            </w:pPr>
            <w:r>
              <w:rPr>
                <w:color w:val="000000"/>
              </w:rPr>
            </w:r>
            <w:r/>
          </w:p>
        </w:tc>
        <w:tc>
          <w:tcPr>
            <w:tcW w:w="7498" w:type="dxa"/>
            <w:vAlign w:val="center"/>
            <w:textDirection w:val="lrTb"/>
            <w:noWrap w:val="false"/>
          </w:tcPr>
          <w:p>
            <w:pPr>
              <w:pStyle w:val="903"/>
              <w:rPr>
                <w:color w:val="000000"/>
              </w:rPr>
            </w:pPr>
            <w:r>
              <w:rPr>
                <w:color w:val="000000"/>
              </w:rPr>
              <w:t xml:space="preserve">每个PDU的接口类型和接口数可根据采购人需求定制。</w:t>
            </w:r>
            <w:r/>
          </w:p>
        </w:tc>
      </w:tr>
    </w:tbl>
    <w:p>
      <w:pPr>
        <w:pStyle w:val="903"/>
        <w:ind w:firstLine="480"/>
        <w:rPr>
          <w:color w:val="000000"/>
          <w:sz w:val="24"/>
        </w:rPr>
      </w:pPr>
      <w:r>
        <w:rPr>
          <w:color w:val="000000"/>
          <w:sz w:val="24"/>
        </w:rPr>
        <w:t xml:space="preserve">（3）机房监控服务</w:t>
      </w:r>
      <w:r/>
    </w:p>
    <w:p>
      <w:pPr>
        <w:pStyle w:val="903"/>
        <w:ind w:firstLine="480"/>
        <w:rPr>
          <w:color w:val="000000"/>
          <w:sz w:val="24"/>
        </w:rPr>
      </w:pPr>
      <w:r>
        <w:rPr>
          <w:color w:val="000000"/>
          <w:sz w:val="24"/>
        </w:rPr>
        <w:t xml:space="preserve">为满足机房整体运行稳定，须在原有服务基础上新增机房温湿度监控、机房配电监控两大模块，并满足以下服务及技术要求：</w:t>
      </w:r>
      <w:r/>
    </w:p>
    <w:p>
      <w:pPr>
        <w:pStyle w:val="903"/>
        <w:ind w:firstLine="480"/>
        <w:rPr>
          <w:color w:val="000000"/>
          <w:sz w:val="24"/>
        </w:rPr>
      </w:pPr>
      <w:r>
        <w:rPr>
          <w:color w:val="000000"/>
          <w:sz w:val="24"/>
        </w:rPr>
        <w:t xml:space="preserve">3.1机房温湿度监控（1套）</w:t>
      </w:r>
      <w:r/>
    </w:p>
    <w:p>
      <w:pPr>
        <w:pStyle w:val="903"/>
        <w:ind w:firstLine="480"/>
        <w:rPr>
          <w:color w:val="000000"/>
          <w:sz w:val="24"/>
        </w:rPr>
      </w:pPr>
      <w:r>
        <w:rPr>
          <w:color w:val="000000"/>
          <w:sz w:val="24"/>
        </w:rPr>
        <w:t xml:space="preserve">对机房关键区域、机柜点位实现7×24 小时不间断温湿度实时监测，支持自定义上下限阈值，超阈值自动告警；具备历史数据存储、查询及趋势曲线展示功能，满足运维追溯与审计要求。</w:t>
      </w:r>
      <w:r/>
    </w:p>
    <w:p>
      <w:pPr>
        <w:pStyle w:val="903"/>
        <w:ind w:firstLine="480"/>
        <w:rPr>
          <w:color w:val="000000"/>
          <w:sz w:val="24"/>
        </w:rPr>
      </w:pPr>
      <w:r>
        <w:rPr>
          <w:color w:val="000000"/>
          <w:sz w:val="24"/>
        </w:rPr>
        <w:t xml:space="preserve">3.2 机房配电监控（1套）</w:t>
      </w:r>
      <w:r/>
    </w:p>
    <w:p>
      <w:pPr>
        <w:pStyle w:val="903"/>
        <w:ind w:firstLine="480"/>
        <w:rPr>
          <w:color w:val="000000"/>
          <w:sz w:val="24"/>
        </w:rPr>
      </w:pPr>
      <w:r>
        <w:rPr>
          <w:color w:val="000000"/>
          <w:sz w:val="24"/>
        </w:rPr>
        <w:t xml:space="preserve">对机房供配电系统电压、电流、功率、电量、开关状态、漏电流等关键参数实时监控，可对供电中断、过压、欠压、过载、异常跳闸等事件实时监测与告警，实现配电运行状态可视化管理。</w:t>
      </w:r>
      <w:r/>
    </w:p>
    <w:p>
      <w:pPr>
        <w:pStyle w:val="903"/>
        <w:ind w:firstLine="480"/>
        <w:rPr>
          <w:color w:val="000000"/>
          <w:sz w:val="24"/>
        </w:rPr>
      </w:pPr>
      <w:r>
        <w:rPr>
          <w:color w:val="000000"/>
          <w:sz w:val="24"/>
        </w:rPr>
        <w:t xml:space="preserve">3.3 机房无忧及灾备服务要求</w:t>
      </w:r>
      <w:r/>
    </w:p>
    <w:p>
      <w:pPr>
        <w:pStyle w:val="903"/>
        <w:ind w:firstLine="480"/>
        <w:rPr>
          <w:color w:val="000000"/>
          <w:sz w:val="24"/>
        </w:rPr>
      </w:pPr>
      <w:r>
        <w:rPr>
          <w:color w:val="000000"/>
          <w:sz w:val="24"/>
        </w:rPr>
        <w:t xml:space="preserve">1）为机房提供专业巡检服务，周期性规范开展机房环境、配电监控设备标准化巡检并形成巡检记录。</w:t>
      </w:r>
      <w:r/>
    </w:p>
    <w:p>
      <w:pPr>
        <w:pStyle w:val="903"/>
        <w:ind w:firstLine="480"/>
        <w:rPr>
          <w:color w:val="000000"/>
          <w:sz w:val="24"/>
        </w:rPr>
      </w:pPr>
      <w:r>
        <w:rPr>
          <w:color w:val="000000"/>
          <w:sz w:val="24"/>
        </w:rPr>
        <w:t xml:space="preserve">2）提供7×24 小时现场维护及远程技术支撑，故障快速响应、及时处置。</w:t>
      </w:r>
      <w:r/>
    </w:p>
    <w:p>
      <w:pPr>
        <w:pStyle w:val="903"/>
        <w:ind w:firstLine="480"/>
        <w:rPr>
          <w:color w:val="000000"/>
          <w:sz w:val="24"/>
        </w:rPr>
      </w:pPr>
      <w:r>
        <w:rPr>
          <w:color w:val="000000"/>
          <w:sz w:val="24"/>
        </w:rPr>
        <w:t xml:space="preserve">3）支持微信端访问，可通过微信查看机房实时监控数据、运行状态及历史信息。</w:t>
      </w:r>
      <w:r/>
    </w:p>
    <w:p>
      <w:pPr>
        <w:pStyle w:val="903"/>
        <w:ind w:firstLine="480"/>
        <w:rPr>
          <w:color w:val="000000"/>
          <w:sz w:val="24"/>
        </w:rPr>
      </w:pPr>
      <w:r>
        <w:rPr>
          <w:color w:val="000000"/>
          <w:sz w:val="24"/>
        </w:rPr>
        <w:t xml:space="preserve">4）支持短信 + 微信双渠道告警，异常信息实时推送，确保及时处置。</w:t>
      </w:r>
      <w:r/>
    </w:p>
    <w:p>
      <w:pPr>
        <w:pStyle w:val="907"/>
        <w:numPr>
          <w:ilvl w:val="0"/>
          <w:numId w:val="7"/>
        </w:numPr>
        <w:ind w:left="0" w:firstLine="0"/>
        <w:spacing w:before="0" w:after="0" w:line="360" w:lineRule="auto"/>
        <w:rPr>
          <w:rFonts w:ascii="Times New Roman" w:hAnsi="Times New Roman"/>
          <w:color w:val="000000"/>
        </w:rPr>
      </w:pPr>
      <w:r>
        <w:rPr>
          <w:rFonts w:ascii="Times New Roman" w:hAnsi="Times New Roman"/>
          <w:color w:val="000000"/>
        </w:rPr>
        <w:t xml:space="preserve">投标人运营运维服务能力要求</w:t>
      </w:r>
      <w:r/>
    </w:p>
    <w:p>
      <w:pPr>
        <w:pStyle w:val="918"/>
        <w:rPr>
          <w:color w:val="000000"/>
        </w:rPr>
      </w:pPr>
      <w:r>
        <w:rPr>
          <w:color w:val="000000"/>
        </w:rPr>
      </w:r>
      <w:r/>
    </w:p>
    <w:p>
      <w:pPr>
        <w:pStyle w:val="1025"/>
        <w:ind w:firstLine="480"/>
        <w:rPr>
          <w:rFonts w:ascii="Times New Roman" w:hAnsi="Times New Roman"/>
          <w:color w:val="000000"/>
        </w:rPr>
      </w:pPr>
      <w:r>
        <w:rPr>
          <w:rFonts w:ascii="Times New Roman" w:hAnsi="Times New Roman"/>
          <w:color w:val="000000"/>
        </w:rPr>
        <w:t xml:space="preserve">省环境厅业务专网现采用SDWAN解决方案，使用IPsec VPN over Vxlan的方式实现业务网络全面运营。</w:t>
      </w:r>
      <w:r/>
    </w:p>
    <w:p>
      <w:pPr>
        <w:pStyle w:val="1025"/>
        <w:ind w:firstLine="480"/>
        <w:rPr>
          <w:rFonts w:ascii="Times New Roman" w:hAnsi="Times New Roman"/>
          <w:color w:val="000000"/>
        </w:rPr>
      </w:pPr>
      <w:r>
        <w:rPr>
          <w:rFonts w:ascii="Times New Roman" w:hAnsi="Times New Roman"/>
          <w:color w:val="000000"/>
        </w:rPr>
        <w:t xml:space="preserve">为确保高质量完成项目服务内容，投标人需具备大规模多层级网络系统升级调优、SDWAN技术、IPsec VPN技术、网络信息安全管理、运维保障服务相关的自有能力，确保能够实现以下功能：</w:t>
      </w:r>
      <w:r/>
    </w:p>
    <w:p>
      <w:pPr>
        <w:pStyle w:val="1025"/>
        <w:numPr>
          <w:ilvl w:val="0"/>
          <w:numId w:val="8"/>
        </w:numPr>
        <w:ind w:firstLine="480"/>
        <w:rPr>
          <w:rFonts w:ascii="Times New Roman" w:hAnsi="Times New Roman"/>
          <w:color w:val="000000"/>
        </w:rPr>
      </w:pPr>
      <w:r>
        <w:rPr>
          <w:rFonts w:ascii="Times New Roman" w:hAnsi="Times New Roman"/>
          <w:color w:val="000000"/>
        </w:rPr>
        <w:t xml:space="preserve">实现基于全局的多维度可视呈现，包括但不限于：提供全局的网络拓扑呈现，设备状态、链路流量及状态呈现，链路质量呈现、应用的多维度呈现以及网络故障呈现；</w:t>
      </w:r>
      <w:r/>
    </w:p>
    <w:p>
      <w:pPr>
        <w:pStyle w:val="1025"/>
        <w:numPr>
          <w:ilvl w:val="0"/>
          <w:numId w:val="8"/>
        </w:numPr>
        <w:ind w:firstLine="480"/>
        <w:rPr>
          <w:rFonts w:ascii="Times New Roman" w:hAnsi="Times New Roman"/>
          <w:color w:val="000000"/>
        </w:rPr>
      </w:pPr>
      <w:r>
        <w:rPr>
          <w:rFonts w:ascii="Times New Roman" w:hAnsi="Times New Roman"/>
          <w:color w:val="000000"/>
        </w:rPr>
        <w:t xml:space="preserve">降低QoS配置复杂度，通过全网资源带宽可视化，实现基于控制器Web页面的简易全局QoS配置一键下发；</w:t>
      </w:r>
      <w:r/>
    </w:p>
    <w:p>
      <w:pPr>
        <w:pStyle w:val="1025"/>
        <w:numPr>
          <w:ilvl w:val="0"/>
          <w:numId w:val="8"/>
        </w:numPr>
        <w:ind w:firstLine="480"/>
        <w:rPr>
          <w:rFonts w:ascii="Times New Roman" w:hAnsi="Times New Roman"/>
          <w:color w:val="000000"/>
        </w:rPr>
      </w:pPr>
      <w:r>
        <w:rPr>
          <w:rFonts w:ascii="Times New Roman" w:hAnsi="Times New Roman"/>
          <w:color w:val="000000"/>
        </w:rPr>
        <w:t xml:space="preserve">实现智能选路，支持基于路径优选、基于链路质量优选、基于应用带宽、以及时间段策略的选路和多重功能组合的智能流量调度功能；</w:t>
      </w:r>
      <w:r/>
    </w:p>
    <w:p>
      <w:pPr>
        <w:pStyle w:val="1025"/>
        <w:numPr>
          <w:ilvl w:val="0"/>
          <w:numId w:val="8"/>
        </w:numPr>
        <w:ind w:firstLine="480"/>
        <w:rPr>
          <w:rFonts w:ascii="Times New Roman" w:hAnsi="Times New Roman"/>
          <w:color w:val="000000"/>
        </w:rPr>
      </w:pPr>
      <w:r>
        <w:rPr>
          <w:rFonts w:ascii="Times New Roman" w:hAnsi="Times New Roman"/>
          <w:color w:val="000000"/>
        </w:rPr>
        <w:t xml:space="preserve">规划设计生态环境厅全省内部网络IP地址，</w:t>
      </w:r>
      <w:r>
        <w:rPr>
          <w:rFonts w:ascii="Times New Roman" w:hAnsi="Times New Roman"/>
          <w:color w:val="000000"/>
          <w:szCs w:val="24"/>
        </w:rPr>
        <w:t xml:space="preserve">组网后的网络需继续沿用生态环境系统地址规划，</w:t>
      </w:r>
      <w:r>
        <w:rPr>
          <w:rFonts w:ascii="Times New Roman" w:hAnsi="Times New Roman"/>
          <w:color w:val="000000"/>
        </w:rPr>
        <w:t xml:space="preserve">确保采购人网络系统平滑过渡；</w:t>
      </w:r>
      <w:r/>
    </w:p>
    <w:p>
      <w:pPr>
        <w:pStyle w:val="1025"/>
        <w:numPr>
          <w:ilvl w:val="0"/>
          <w:numId w:val="8"/>
        </w:numPr>
        <w:ind w:firstLine="480"/>
        <w:rPr>
          <w:rFonts w:ascii="Times New Roman" w:hAnsi="Times New Roman"/>
          <w:color w:val="000000"/>
        </w:rPr>
      </w:pPr>
      <w:r>
        <w:rPr>
          <w:rFonts w:ascii="Times New Roman" w:hAnsi="Times New Roman"/>
          <w:color w:val="000000"/>
        </w:rPr>
        <w:t xml:space="preserve">实现网络智能管理，提供SDWAN网络管理平台，实现大规模多层级网络的基础资源管理、身份与接入管理、端点准入安全管理、VPN管理、网络智能分析等功能；</w:t>
      </w:r>
      <w:r/>
    </w:p>
    <w:p>
      <w:pPr>
        <w:pStyle w:val="1025"/>
        <w:numPr>
          <w:ilvl w:val="0"/>
          <w:numId w:val="8"/>
        </w:numPr>
        <w:ind w:firstLine="480"/>
        <w:rPr>
          <w:rFonts w:ascii="Times New Roman" w:hAnsi="Times New Roman"/>
          <w:color w:val="000000"/>
        </w:rPr>
      </w:pPr>
      <w:r>
        <w:rPr>
          <w:rFonts w:ascii="Times New Roman" w:hAnsi="Times New Roman"/>
          <w:color w:val="000000"/>
        </w:rPr>
        <w:t xml:space="preserve">开展对网络的整体安全运维，及时发现网络中的异常攻击行为，定期分析网络流量，形成网络流量分析报告；</w:t>
      </w:r>
      <w:r/>
    </w:p>
    <w:p>
      <w:pPr>
        <w:pStyle w:val="907"/>
        <w:numPr>
          <w:ilvl w:val="0"/>
          <w:numId w:val="7"/>
        </w:numPr>
        <w:rPr>
          <w:rFonts w:ascii="Times New Roman" w:hAnsi="Times New Roman"/>
          <w:color w:val="000000"/>
        </w:rPr>
      </w:pPr>
      <w:r>
        <w:rPr>
          <w:rFonts w:ascii="Times New Roman" w:hAnsi="Times New Roman"/>
          <w:color w:val="000000"/>
        </w:rPr>
        <w:t xml:space="preserve">其它要求</w:t>
      </w:r>
      <w:r/>
    </w:p>
    <w:p>
      <w:pPr>
        <w:pStyle w:val="908"/>
        <w:numPr>
          <w:ilvl w:val="0"/>
          <w:numId w:val="9"/>
        </w:numPr>
        <w:rPr>
          <w:rFonts w:ascii="Times New Roman"/>
        </w:rPr>
      </w:pPr>
      <w:r>
        <w:rPr>
          <w:rFonts w:ascii="Times New Roman"/>
        </w:rPr>
        <w:t xml:space="preserve">总体技术方案</w:t>
      </w:r>
      <w:r/>
    </w:p>
    <w:p>
      <w:pPr>
        <w:pStyle w:val="1025"/>
        <w:ind w:firstLine="480"/>
        <w:rPr>
          <w:rFonts w:ascii="Times New Roman" w:hAnsi="Times New Roman"/>
          <w:color w:val="000000"/>
        </w:rPr>
      </w:pPr>
      <w:r>
        <w:rPr>
          <w:rFonts w:ascii="Times New Roman" w:hAnsi="Times New Roman"/>
          <w:color w:val="000000"/>
        </w:rPr>
        <w:t xml:space="preserve">投标人应提供总体技术方案，方案须包含项目需求与现状分析、电子政务外网对接说明、业务网络拓扑结构设计、网络优化设计、IP地址规划等。整体解决方案应清晰直观展现本次项目建设全景，提供完善的技术方案确保项目安全稳定运行，方案应科学、合理、切实可行、针对性强、图文并茂，符合本项目建设需求。所有万兆光纤口、千兆光纤口均需配置对应的光模块。</w:t>
      </w:r>
      <w:r/>
    </w:p>
    <w:p>
      <w:pPr>
        <w:pStyle w:val="908"/>
        <w:numPr>
          <w:ilvl w:val="0"/>
          <w:numId w:val="9"/>
        </w:numPr>
        <w:rPr>
          <w:rFonts w:ascii="Times New Roman"/>
        </w:rPr>
      </w:pPr>
      <w:r>
        <w:rPr>
          <w:rFonts w:ascii="Times New Roman"/>
        </w:rPr>
        <w:t xml:space="preserve">项目实施方案</w:t>
      </w:r>
      <w:r/>
    </w:p>
    <w:p>
      <w:pPr>
        <w:pStyle w:val="1025"/>
        <w:ind w:firstLine="480"/>
        <w:rPr>
          <w:rFonts w:ascii="Times New Roman" w:hAnsi="Times New Roman"/>
          <w:color w:val="000000"/>
        </w:rPr>
      </w:pPr>
      <w:r>
        <w:rPr>
          <w:rFonts w:ascii="Times New Roman" w:hAnsi="Times New Roman"/>
          <w:color w:val="000000"/>
        </w:rPr>
        <w:t xml:space="preserve">投标人应提供项目实施方案，方案须包含项目工期计划、实施团队架构、实施内容、质量保障方案、风险控制措施等，确保按工期要求完成所有工作，并确保项目整体质量控制达到项目设计要求。</w:t>
      </w:r>
      <w:r/>
    </w:p>
    <w:p>
      <w:pPr>
        <w:pStyle w:val="1025"/>
        <w:ind w:firstLine="480"/>
        <w:rPr>
          <w:rFonts w:ascii="Times New Roman" w:hAnsi="Times New Roman"/>
          <w:color w:val="000000"/>
        </w:rPr>
      </w:pPr>
      <w:r>
        <w:rPr>
          <w:rFonts w:ascii="Times New Roman" w:hAnsi="Times New Roman"/>
          <w:color w:val="000000"/>
        </w:rPr>
        <w:t xml:space="preserve">投标人需承诺在中标后配合采购人进行项目试点实施，中标后10天内完成至少两个地市与省厅的网络升级改造试点工作，期间所需软硬件设备及辅材全部由投标人提供，</w:t>
      </w:r>
      <w:r>
        <w:rPr>
          <w:rFonts w:ascii="Times New Roman" w:hAnsi="Times New Roman"/>
          <w:color w:val="000000"/>
          <w:lang w:val="zh-CN"/>
        </w:rPr>
        <w:t xml:space="preserve">如测试结果与</w:t>
      </w:r>
      <w:r>
        <w:rPr>
          <w:rFonts w:ascii="Times New Roman" w:hAnsi="Times New Roman"/>
          <w:color w:val="000000"/>
        </w:rPr>
        <w:t xml:space="preserve">投标文件响应内容</w:t>
      </w:r>
      <w:r>
        <w:rPr>
          <w:rFonts w:ascii="Times New Roman" w:hAnsi="Times New Roman"/>
          <w:color w:val="000000"/>
          <w:lang w:val="zh-CN"/>
        </w:rPr>
        <w:t xml:space="preserve">不符，</w:t>
      </w:r>
      <w:r>
        <w:rPr>
          <w:rFonts w:ascii="Times New Roman" w:hAnsi="Times New Roman"/>
          <w:color w:val="000000"/>
        </w:rPr>
        <w:t xml:space="preserve">投标人</w:t>
      </w:r>
      <w:r>
        <w:rPr>
          <w:rFonts w:ascii="Times New Roman" w:hAnsi="Times New Roman"/>
          <w:color w:val="000000"/>
          <w:lang w:val="zh-CN"/>
        </w:rPr>
        <w:t xml:space="preserve">将按照政府采购有关规定承担法律责任</w:t>
      </w:r>
      <w:r>
        <w:rPr>
          <w:rFonts w:ascii="Times New Roman" w:hAnsi="Times New Roman"/>
          <w:color w:val="000000"/>
        </w:rPr>
        <w:t xml:space="preserve">。</w:t>
      </w:r>
      <w:r/>
    </w:p>
    <w:p>
      <w:pPr>
        <w:pStyle w:val="908"/>
        <w:numPr>
          <w:ilvl w:val="0"/>
          <w:numId w:val="9"/>
        </w:numPr>
        <w:rPr>
          <w:rFonts w:ascii="Times New Roman"/>
        </w:rPr>
      </w:pPr>
      <w:r>
        <w:rPr>
          <w:rFonts w:ascii="Times New Roman"/>
        </w:rPr>
        <w:t xml:space="preserve">线路割接方案</w:t>
      </w:r>
      <w:r/>
    </w:p>
    <w:p>
      <w:pPr>
        <w:pStyle w:val="1025"/>
        <w:ind w:firstLine="480"/>
        <w:rPr>
          <w:rFonts w:ascii="Times New Roman" w:hAnsi="Times New Roman"/>
          <w:color w:val="000000"/>
        </w:rPr>
      </w:pPr>
      <w:r>
        <w:rPr>
          <w:rFonts w:ascii="Times New Roman" w:hAnsi="Times New Roman"/>
          <w:color w:val="000000"/>
        </w:rPr>
        <w:t xml:space="preserve">为保障专网业务的平稳过渡，投标人应在充分调研采购人组网方案和运行情况的基础上，就专网割接制定符合项目需求的割接方案。</w:t>
      </w:r>
      <w:r/>
    </w:p>
    <w:p>
      <w:pPr>
        <w:pStyle w:val="908"/>
        <w:numPr>
          <w:ilvl w:val="0"/>
          <w:numId w:val="9"/>
        </w:numPr>
        <w:rPr>
          <w:rFonts w:ascii="Times New Roman"/>
        </w:rPr>
      </w:pPr>
      <w:r>
        <w:rPr>
          <w:rFonts w:ascii="Times New Roman"/>
        </w:rPr>
        <w:t xml:space="preserve">售后服务方案</w:t>
      </w:r>
      <w:r/>
    </w:p>
    <w:p>
      <w:pPr>
        <w:pStyle w:val="1025"/>
        <w:ind w:firstLine="480"/>
        <w:rPr>
          <w:rFonts w:ascii="Times New Roman" w:hAnsi="Times New Roman"/>
          <w:color w:val="000000"/>
        </w:rPr>
      </w:pPr>
      <w:r>
        <w:rPr>
          <w:rFonts w:ascii="Times New Roman" w:hAnsi="Times New Roman"/>
          <w:color w:val="000000"/>
          <w:lang w:val="zh-CN"/>
        </w:rPr>
        <w:t xml:space="preserve">投标人提供维护服务保障体系和完整合理的服务方案，内容包含；服务机构、服务内容、响应时间、故障处理、恢复时效、人员力量、支撑保障等内容。</w:t>
      </w:r>
      <w:r>
        <w:rPr>
          <w:rFonts w:ascii="Times New Roman" w:hAnsi="Times New Roman"/>
          <w:color w:val="000000"/>
        </w:rPr>
        <w:t xml:space="preserve">售后服务和培训</w:t>
      </w:r>
      <w:r/>
    </w:p>
    <w:p>
      <w:pPr>
        <w:pStyle w:val="1025"/>
        <w:ind w:firstLine="480"/>
        <w:rPr>
          <w:rFonts w:ascii="Times New Roman" w:hAnsi="Times New Roman"/>
          <w:color w:val="000000"/>
        </w:rPr>
      </w:pPr>
      <w:r>
        <w:rPr>
          <w:rFonts w:ascii="Times New Roman" w:hAnsi="Times New Roman"/>
          <w:color w:val="000000"/>
        </w:rPr>
        <w:t xml:space="preserve">投标人应提供售后服务方案和培训方案，方案须包含售后服务体系、售后服务团队、服务响应时间、服务内容、培训计划、培训内容等。</w:t>
      </w:r>
      <w:r/>
    </w:p>
    <w:p>
      <w:pPr>
        <w:pStyle w:val="1025"/>
        <w:ind w:firstLine="480"/>
        <w:rPr>
          <w:rFonts w:ascii="Times New Roman" w:hAnsi="Times New Roman"/>
          <w:color w:val="000000"/>
        </w:rPr>
      </w:pPr>
      <w:r>
        <w:rPr>
          <w:rFonts w:ascii="Times New Roman" w:hAnsi="Times New Roman"/>
          <w:color w:val="000000"/>
        </w:rPr>
        <w:t xml:space="preserve">售后运行维护服务内容：</w:t>
      </w:r>
      <w:r/>
    </w:p>
    <w:p>
      <w:pPr>
        <w:pStyle w:val="1025"/>
        <w:ind w:firstLine="482"/>
        <w:rPr>
          <w:rFonts w:ascii="Times New Roman" w:hAnsi="Times New Roman"/>
          <w:color w:val="000000"/>
        </w:rPr>
      </w:pPr>
      <w:r>
        <w:rPr>
          <w:rFonts w:ascii="Times New Roman" w:hAnsi="Times New Roman"/>
          <w:b/>
          <w:i/>
          <w:color w:val="000000"/>
          <w:u w:val="single"/>
        </w:rPr>
        <w:t xml:space="preserve">投标人在本项目使用的软硬件均需提供项目服务期内的售后质保服务，并提供运行维护保障服务，投标人应提供相应期限的服务承诺函。</w:t>
      </w:r>
      <w:r>
        <w:rPr>
          <w:rFonts w:ascii="Times New Roman" w:hAnsi="Times New Roman"/>
          <w:color w:val="000000"/>
        </w:rPr>
        <w:t xml:space="preserve">通过对软硬件系统环境定期进行规范化的预防性维护，提高系统的可靠性、稳定性及可使用率，充分排查系统隐患，最大限度减小系统的非计划停机可能性；对突发故障提供及时且高效的技术支持和解决方案，减低故障对系统的影响。</w:t>
      </w:r>
      <w:r/>
    </w:p>
    <w:p>
      <w:pPr>
        <w:pStyle w:val="1025"/>
        <w:ind w:firstLine="480"/>
        <w:rPr>
          <w:rFonts w:ascii="Times New Roman" w:hAnsi="Times New Roman"/>
          <w:color w:val="000000"/>
        </w:rPr>
      </w:pPr>
      <w:r>
        <w:rPr>
          <w:rFonts w:ascii="Times New Roman" w:hAnsi="Times New Roman"/>
          <w:color w:val="000000"/>
        </w:rPr>
        <w:t xml:space="preserve">服务响应时间要求：</w:t>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7"/>
        <w:gridCol w:w="1517"/>
        <w:gridCol w:w="4297"/>
        <w:gridCol w:w="2214"/>
      </w:tblGrid>
      <w:tr>
        <w:trPr>
          <w:trHeight w:val="57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903"/>
              <w:jc w:val="center"/>
              <w:rPr>
                <w:color w:val="000000"/>
              </w:rPr>
            </w:pPr>
            <w:r>
              <w:rPr>
                <w:color w:val="000000"/>
              </w:rPr>
              <w:t xml:space="preserve">序号</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903"/>
              <w:jc w:val="center"/>
              <w:rPr>
                <w:color w:val="000000"/>
              </w:rPr>
            </w:pPr>
            <w:r>
              <w:rPr>
                <w:color w:val="000000"/>
              </w:rPr>
              <w:t xml:space="preserve">响应级别</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3"/>
              <w:jc w:val="center"/>
              <w:rPr>
                <w:color w:val="000000"/>
              </w:rPr>
            </w:pPr>
            <w:r>
              <w:rPr>
                <w:color w:val="000000"/>
              </w:rPr>
              <w:t xml:space="preserve">问题描述</w:t>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3"/>
              <w:jc w:val="center"/>
              <w:rPr>
                <w:color w:val="000000"/>
              </w:rPr>
            </w:pPr>
            <w:r>
              <w:rPr>
                <w:color w:val="000000"/>
              </w:rPr>
              <w:t xml:space="preserve">响应时间</w:t>
            </w:r>
            <w:r/>
          </w:p>
        </w:tc>
      </w:tr>
      <w:tr>
        <w:trPr>
          <w:trHeight w:val="57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903"/>
              <w:jc w:val="center"/>
              <w:rPr>
                <w:color w:val="000000"/>
                <w:lang w:val="zh-CN"/>
              </w:rPr>
            </w:pPr>
            <w:r>
              <w:rPr>
                <w:color w:val="000000"/>
                <w:lang w:val="zh-CN"/>
              </w:rPr>
              <w:t xml:space="preserve">1</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903"/>
              <w:jc w:val="center"/>
              <w:rPr>
                <w:color w:val="000000"/>
                <w:lang w:val="zh-CN"/>
              </w:rPr>
            </w:pPr>
            <w:r>
              <w:rPr>
                <w:color w:val="000000"/>
                <w:lang w:val="zh-CN"/>
              </w:rPr>
              <w:t xml:space="preserve">紧急</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3"/>
              <w:jc w:val="center"/>
              <w:rPr>
                <w:color w:val="000000"/>
                <w:lang w:val="zh-CN"/>
              </w:rPr>
            </w:pPr>
            <w:r>
              <w:rPr>
                <w:color w:val="000000"/>
                <w:lang w:val="zh-CN"/>
              </w:rPr>
              <w:t xml:space="preserve">核心业务功能及组件不可用或全部瘫痪的严重故障类问题</w:t>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3"/>
              <w:jc w:val="center"/>
              <w:rPr>
                <w:color w:val="000000"/>
                <w:lang w:val="zh-CN"/>
              </w:rPr>
            </w:pPr>
            <w:r>
              <w:rPr>
                <w:color w:val="000000"/>
                <w:lang w:val="zh-CN"/>
              </w:rPr>
              <w:t xml:space="preserve">15分钟内进行响应</w:t>
            </w:r>
            <w:r/>
          </w:p>
        </w:tc>
      </w:tr>
      <w:tr>
        <w:trPr>
          <w:trHeight w:val="502"/>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903"/>
              <w:jc w:val="center"/>
              <w:rPr>
                <w:color w:val="000000"/>
                <w:lang w:val="zh-CN"/>
              </w:rPr>
            </w:pPr>
            <w:r>
              <w:rPr>
                <w:color w:val="000000"/>
                <w:lang w:val="zh-CN"/>
              </w:rPr>
              <w:t xml:space="preserve">2</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903"/>
              <w:jc w:val="center"/>
              <w:rPr>
                <w:color w:val="000000"/>
                <w:lang w:val="zh-CN"/>
              </w:rPr>
            </w:pPr>
            <w:r>
              <w:rPr>
                <w:color w:val="000000"/>
                <w:lang w:val="zh-CN"/>
              </w:rPr>
              <w:t xml:space="preserve">高</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3"/>
              <w:jc w:val="center"/>
              <w:rPr>
                <w:color w:val="000000"/>
                <w:lang w:val="zh-CN"/>
              </w:rPr>
            </w:pPr>
            <w:r>
              <w:rPr>
                <w:color w:val="000000"/>
                <w:lang w:val="zh-CN"/>
              </w:rPr>
              <w:t xml:space="preserve">部分业务功能或组件受到影响，或业务软件时断时续等故障类问题</w:t>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3"/>
              <w:jc w:val="center"/>
              <w:rPr>
                <w:color w:val="000000"/>
                <w:lang w:val="zh-CN"/>
              </w:rPr>
            </w:pPr>
            <w:r>
              <w:rPr>
                <w:color w:val="000000"/>
                <w:lang w:val="zh-CN"/>
              </w:rPr>
              <w:t xml:space="preserve">30分钟内进行响应</w:t>
            </w:r>
            <w:r/>
          </w:p>
        </w:tc>
      </w:tr>
      <w:tr>
        <w:trPr>
          <w:trHeight w:val="476"/>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903"/>
              <w:jc w:val="center"/>
              <w:rPr>
                <w:color w:val="000000"/>
                <w:lang w:val="zh-CN"/>
              </w:rPr>
            </w:pPr>
            <w:r>
              <w:rPr>
                <w:color w:val="000000"/>
                <w:lang w:val="zh-CN"/>
              </w:rPr>
              <w:t xml:space="preserve">3</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903"/>
              <w:jc w:val="center"/>
              <w:rPr>
                <w:color w:val="000000"/>
                <w:lang w:val="zh-CN"/>
              </w:rPr>
            </w:pPr>
            <w:r>
              <w:rPr>
                <w:color w:val="000000"/>
                <w:lang w:val="zh-CN"/>
              </w:rPr>
              <w:t xml:space="preserve">中</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3"/>
              <w:jc w:val="center"/>
              <w:rPr>
                <w:color w:val="000000"/>
                <w:lang w:val="zh-CN"/>
              </w:rPr>
            </w:pPr>
            <w:r>
              <w:rPr>
                <w:color w:val="000000"/>
                <w:lang w:val="zh-CN"/>
              </w:rPr>
              <w:t xml:space="preserve">单一业务简单故障方面问题</w:t>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3"/>
              <w:jc w:val="center"/>
              <w:rPr>
                <w:color w:val="000000"/>
                <w:lang w:val="zh-CN"/>
              </w:rPr>
            </w:pPr>
            <w:r>
              <w:rPr>
                <w:color w:val="000000"/>
              </w:rPr>
              <w:t xml:space="preserve">2</w:t>
            </w:r>
            <w:r>
              <w:rPr>
                <w:color w:val="000000"/>
                <w:lang w:val="zh-CN"/>
              </w:rPr>
              <w:t xml:space="preserve">小时内进行响应</w:t>
            </w:r>
            <w:r/>
          </w:p>
        </w:tc>
      </w:tr>
      <w:tr>
        <w:trPr>
          <w:trHeight w:val="548"/>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903"/>
              <w:jc w:val="center"/>
              <w:rPr>
                <w:color w:val="000000"/>
                <w:lang w:val="zh-CN"/>
              </w:rPr>
            </w:pPr>
            <w:r>
              <w:rPr>
                <w:color w:val="000000"/>
                <w:lang w:val="zh-CN"/>
              </w:rPr>
              <w:t xml:space="preserve">4</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903"/>
              <w:jc w:val="center"/>
              <w:rPr>
                <w:color w:val="000000"/>
                <w:lang w:val="zh-CN"/>
              </w:rPr>
            </w:pPr>
            <w:r>
              <w:rPr>
                <w:color w:val="000000"/>
                <w:lang w:val="zh-CN"/>
              </w:rPr>
              <w:t xml:space="preserve">低</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3"/>
              <w:jc w:val="center"/>
              <w:rPr>
                <w:color w:val="000000"/>
                <w:lang w:val="zh-CN"/>
              </w:rPr>
            </w:pPr>
            <w:r>
              <w:rPr>
                <w:color w:val="000000"/>
                <w:lang w:val="zh-CN"/>
              </w:rPr>
              <w:t xml:space="preserve">针对于业务使用方法、产品需求等一般技术咨询类问题</w:t>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3"/>
              <w:jc w:val="center"/>
              <w:rPr>
                <w:color w:val="000000"/>
                <w:lang w:val="zh-CN"/>
              </w:rPr>
            </w:pPr>
            <w:r>
              <w:rPr>
                <w:color w:val="000000"/>
              </w:rPr>
              <w:t xml:space="preserve">4</w:t>
            </w:r>
            <w:r>
              <w:rPr>
                <w:color w:val="000000"/>
                <w:lang w:val="zh-CN"/>
              </w:rPr>
              <w:t xml:space="preserve">小时内进行响应</w:t>
            </w:r>
            <w:r/>
          </w:p>
        </w:tc>
      </w:tr>
    </w:tbl>
    <w:p>
      <w:pPr>
        <w:pStyle w:val="1025"/>
        <w:ind w:firstLine="480"/>
        <w:rPr>
          <w:rFonts w:ascii="Times New Roman" w:hAnsi="Times New Roman"/>
          <w:color w:val="000000"/>
        </w:rPr>
      </w:pPr>
      <w:r>
        <w:rPr>
          <w:rFonts w:ascii="Times New Roman" w:hAnsi="Times New Roman"/>
          <w:color w:val="000000"/>
        </w:rPr>
      </w:r>
      <w:r/>
    </w:p>
    <w:p>
      <w:pPr>
        <w:pStyle w:val="1025"/>
        <w:ind w:firstLine="480"/>
        <w:rPr>
          <w:rFonts w:ascii="Times New Roman" w:hAnsi="Times New Roman"/>
          <w:color w:val="000000"/>
        </w:rPr>
      </w:pPr>
      <w:r>
        <w:rPr>
          <w:rFonts w:ascii="Times New Roman" w:hAnsi="Times New Roman"/>
          <w:color w:val="000000"/>
        </w:rPr>
        <w:t xml:space="preserve">服务质量考核：</w:t>
      </w:r>
      <w:r/>
    </w:p>
    <w:p>
      <w:pPr>
        <w:pStyle w:val="1025"/>
        <w:ind w:firstLine="480"/>
        <w:rPr>
          <w:rFonts w:ascii="Times New Roman" w:hAnsi="Times New Roman"/>
          <w:color w:val="000000"/>
        </w:rPr>
      </w:pPr>
      <w:r>
        <w:rPr>
          <w:rFonts w:ascii="Times New Roman" w:hAnsi="Times New Roman"/>
          <w:color w:val="000000"/>
        </w:rPr>
        <w:t xml:space="preserve">为有效规范中标人所提供技术服务的内容及质量，采购人将对中标人的技术服务进行管理及考核，并作为服务验收和付款的依据。中标人须设立服务质量监督员并定期（至少每季度一次）向采购人汇报合同要求范围内的技术服务（包含常规巡检、故障处理、备件更换等）执行情况及质量状况，针对采购人提出的意见及建议提出服务质量整改措施并跟踪落实。</w:t>
      </w:r>
      <w:r/>
    </w:p>
    <w:p>
      <w:pPr>
        <w:pStyle w:val="1025"/>
        <w:ind w:firstLine="480"/>
        <w:rPr>
          <w:rFonts w:ascii="Times New Roman" w:hAnsi="Times New Roman"/>
          <w:color w:val="000000"/>
        </w:rPr>
      </w:pPr>
      <w:r>
        <w:rPr>
          <w:rFonts w:ascii="Times New Roman" w:hAnsi="Times New Roman"/>
          <w:color w:val="000000"/>
        </w:rPr>
        <w:t xml:space="preserve">如因中标人技术能力导致设备故障引起采购人业务网络服务中断，采购人将视故障的影响程度，进行服务考核和处理，若导致重大故障或引发严重后果，采购人有权利要求中标人赔偿因此造成的相关损失。</w:t>
      </w:r>
      <w:r/>
    </w:p>
    <w:p>
      <w:pPr>
        <w:pStyle w:val="908"/>
        <w:numPr>
          <w:ilvl w:val="0"/>
          <w:numId w:val="9"/>
        </w:numPr>
        <w:rPr>
          <w:rFonts w:ascii="Times New Roman"/>
        </w:rPr>
      </w:pPr>
      <w:r>
        <w:rPr>
          <w:rFonts w:ascii="Times New Roman"/>
        </w:rPr>
        <w:t xml:space="preserve">网络安全服务方案</w:t>
      </w:r>
      <w:r/>
    </w:p>
    <w:p>
      <w:pPr>
        <w:pStyle w:val="1025"/>
        <w:ind w:firstLine="480"/>
        <w:rPr>
          <w:rFonts w:ascii="Times New Roman" w:hAnsi="Times New Roman"/>
          <w:color w:val="000000"/>
        </w:rPr>
      </w:pPr>
      <w:r>
        <w:rPr>
          <w:rFonts w:ascii="Times New Roman" w:hAnsi="Times New Roman"/>
          <w:color w:val="000000"/>
        </w:rPr>
        <w:t xml:space="preserve">投标人应提供网络和安全运营服务方案，方案须包含但不限于网络系统升级调优、网络安全管理、漏洞扫描、流量监控等，满足省市县三级组网、路由、QoS等服务需求，及时发现网络攻击流量、异常流量，确保业务专网稳定可靠安全运行。</w:t>
      </w:r>
      <w:r/>
    </w:p>
    <w:p>
      <w:pPr>
        <w:pStyle w:val="908"/>
        <w:numPr>
          <w:ilvl w:val="0"/>
          <w:numId w:val="9"/>
        </w:numPr>
        <w:rPr>
          <w:rFonts w:ascii="Times New Roman"/>
        </w:rPr>
      </w:pPr>
      <w:r>
        <w:rPr>
          <w:rFonts w:ascii="Times New Roman"/>
        </w:rPr>
        <w:t xml:space="preserve">应急保障方案</w:t>
      </w:r>
      <w:r/>
    </w:p>
    <w:p>
      <w:pPr>
        <w:pStyle w:val="1025"/>
        <w:ind w:firstLine="480"/>
        <w:rPr>
          <w:rFonts w:ascii="Times New Roman" w:hAnsi="Times New Roman"/>
          <w:color w:val="000000"/>
        </w:rPr>
      </w:pPr>
      <w:r>
        <w:rPr>
          <w:rFonts w:ascii="Times New Roman" w:hAnsi="Times New Roman"/>
          <w:color w:val="000000"/>
        </w:rPr>
        <w:t xml:space="preserve">投标人应结合本项目特点，提供对应的应急响应方案，包括但不限于组织架构、响应时间、响应流程、故障处置等内容，以及针对软件系统故障、硬件系统故障、网络故障、网络攻击、信息破坏等事件的专项响应方案。</w:t>
      </w:r>
      <w:r/>
    </w:p>
    <w:p>
      <w:pPr>
        <w:pStyle w:val="908"/>
        <w:numPr>
          <w:ilvl w:val="0"/>
          <w:numId w:val="9"/>
        </w:numPr>
        <w:rPr>
          <w:rFonts w:ascii="Times New Roman"/>
        </w:rPr>
      </w:pPr>
      <w:r/>
      <w:bookmarkStart w:id="215" w:name="OLE_LINK29"/>
      <w:r/>
      <w:bookmarkStart w:id="216" w:name="OLE_LINK30"/>
      <w:r>
        <w:rPr>
          <w:rFonts w:ascii="Times New Roman"/>
        </w:rPr>
        <w:t xml:space="preserve">本地化服务能力</w:t>
      </w:r>
      <w:bookmarkEnd w:id="215"/>
      <w:r>
        <w:rPr>
          <w:rFonts w:ascii="Times New Roman"/>
        </w:rPr>
      </w:r>
      <w:r/>
    </w:p>
    <w:p>
      <w:pPr>
        <w:pStyle w:val="1025"/>
        <w:ind w:firstLine="480"/>
        <w:rPr>
          <w:rFonts w:ascii="Times New Roman" w:hAnsi="Times New Roman"/>
          <w:color w:val="000000"/>
        </w:rPr>
      </w:pPr>
      <w:r/>
      <w:bookmarkEnd w:id="216"/>
      <w:r>
        <w:rPr>
          <w:rFonts w:ascii="Times New Roman" w:hAnsi="Times New Roman"/>
          <w:color w:val="000000"/>
        </w:rPr>
        <w:t xml:space="preserve">投标人应具备省、市、县三级本地化服务能力，在全省13个地市具有本地服务机构或承诺中标后成立本地化服务团队。</w:t>
      </w:r>
      <w:r/>
    </w:p>
    <w:p>
      <w:pPr>
        <w:pStyle w:val="1025"/>
        <w:ind w:firstLine="480"/>
        <w:rPr>
          <w:rFonts w:ascii="Times New Roman" w:hAnsi="Times New Roman"/>
          <w:color w:val="000000"/>
        </w:rPr>
      </w:pPr>
      <w:r/>
      <w:bookmarkStart w:id="217" w:name="OLE_LINK17"/>
      <w:r/>
      <w:bookmarkStart w:id="218" w:name="OLE_LINK16"/>
      <w:r>
        <w:rPr>
          <w:rFonts w:ascii="Times New Roman" w:hAnsi="Times New Roman"/>
          <w:color w:val="000000"/>
        </w:rPr>
        <w:t xml:space="preserve">投标人</w:t>
      </w:r>
      <w:bookmarkEnd w:id="217"/>
      <w:r/>
      <w:bookmarkEnd w:id="218"/>
      <w:r>
        <w:rPr>
          <w:rFonts w:ascii="Times New Roman" w:hAnsi="Times New Roman"/>
          <w:color w:val="000000"/>
        </w:rPr>
        <w:t xml:space="preserve">中标后需提供项目整体保障和技术支持服务，确保本项目范围内的硬件和软件能够正常使用。在出现故障时，按响应级别在规定时间内响应，必要时应派技术人员及时到现场处理问题，遇到重大事件应无条件响应。</w:t>
      </w:r>
      <w:r/>
    </w:p>
    <w:p>
      <w:pPr>
        <w:pStyle w:val="1025"/>
        <w:ind w:firstLine="480"/>
        <w:rPr>
          <w:rFonts w:ascii="Times New Roman" w:hAnsi="Times New Roman"/>
          <w:color w:val="000000"/>
        </w:rPr>
      </w:pPr>
      <w:r/>
      <w:bookmarkStart w:id="219" w:name="OLE_LINK24"/>
      <w:r/>
      <w:bookmarkStart w:id="220" w:name="OLE_LINK27"/>
      <w:r>
        <w:rPr>
          <w:rFonts w:ascii="Times New Roman" w:hAnsi="Times New Roman"/>
          <w:color w:val="000000"/>
        </w:rPr>
        <w:t xml:space="preserve">项目服务期间，投标人应根据项目需求，提供笔记本电脑（不少于1台）和手持设备（不少于8台），用于项目联网调试及兼容性、稳定性测试。专用笔记本配置酷睿 Ultra 7同等或以上配置CPU，内存&gt;=32G，SSD硬盘&gt;=1T；手持设备根据项目需求配置安卓系统（提供承诺函）。</w:t>
      </w:r>
      <w:r/>
    </w:p>
    <w:p>
      <w:pPr>
        <w:pStyle w:val="908"/>
        <w:numPr>
          <w:ilvl w:val="0"/>
          <w:numId w:val="9"/>
        </w:numPr>
        <w:rPr>
          <w:rFonts w:ascii="Times New Roman"/>
        </w:rPr>
      </w:pPr>
      <w:r/>
      <w:bookmarkEnd w:id="219"/>
      <w:r/>
      <w:bookmarkEnd w:id="220"/>
      <w:r>
        <w:rPr>
          <w:rFonts w:ascii="Times New Roman"/>
        </w:rPr>
        <w:t xml:space="preserve">培训方案</w:t>
      </w:r>
      <w:r/>
    </w:p>
    <w:p>
      <w:pPr>
        <w:pStyle w:val="1025"/>
        <w:ind w:firstLine="480"/>
        <w:rPr>
          <w:rFonts w:ascii="Times New Roman" w:hAnsi="Times New Roman"/>
          <w:color w:val="000000"/>
        </w:rPr>
      </w:pPr>
      <w:r>
        <w:rPr>
          <w:rFonts w:ascii="Times New Roman" w:hAnsi="Times New Roman"/>
          <w:color w:val="000000"/>
          <w:szCs w:val="24"/>
        </w:rPr>
        <w:t xml:space="preserve">投标人</w:t>
      </w:r>
      <w:bookmarkStart w:id="221" w:name="OLE_LINK18"/>
      <w:r/>
      <w:bookmarkStart w:id="222" w:name="OLE_LINK19"/>
      <w:r>
        <w:rPr>
          <w:rFonts w:ascii="Times New Roman" w:hAnsi="Times New Roman"/>
          <w:color w:val="000000"/>
          <w:szCs w:val="24"/>
        </w:rPr>
        <w:t xml:space="preserve">应根据项目需求，</w:t>
      </w:r>
      <w:bookmarkEnd w:id="221"/>
      <w:r/>
      <w:bookmarkEnd w:id="222"/>
      <w:r>
        <w:rPr>
          <w:rFonts w:ascii="Times New Roman" w:hAnsi="Times New Roman"/>
          <w:color w:val="000000"/>
          <w:szCs w:val="24"/>
        </w:rPr>
        <w:t xml:space="preserve">制定有针对性的培训方案，包括但不限于培训内容、培训形式、培训频次（每季度至少1次）、培训人数（每次不少于5人）、培训地点等内容，建立完善的反馈机制，确保团队能够始终保持高水平的运维能力。</w:t>
      </w:r>
      <w:r>
        <w:rPr>
          <w:rFonts w:ascii="Times New Roman" w:hAnsi="Times New Roman"/>
          <w:color w:val="000000"/>
        </w:rPr>
      </w:r>
      <w:r/>
    </w:p>
    <w:p>
      <w:pPr>
        <w:pStyle w:val="908"/>
        <w:numPr>
          <w:ilvl w:val="0"/>
          <w:numId w:val="9"/>
        </w:numPr>
        <w:rPr>
          <w:rFonts w:ascii="Times New Roman"/>
        </w:rPr>
      </w:pPr>
      <w:r>
        <w:rPr>
          <w:rFonts w:ascii="Times New Roman"/>
        </w:rPr>
        <w:t xml:space="preserve">机房运营及灾备服务方案</w:t>
      </w:r>
      <w:r/>
    </w:p>
    <w:p>
      <w:pPr>
        <w:pStyle w:val="1025"/>
        <w:ind w:firstLine="480"/>
        <w:rPr>
          <w:rFonts w:ascii="Times New Roman" w:hAnsi="Times New Roman"/>
          <w:color w:val="000000"/>
        </w:rPr>
      </w:pPr>
      <w:r>
        <w:rPr>
          <w:rFonts w:ascii="Times New Roman" w:hAnsi="Times New Roman"/>
          <w:color w:val="000000"/>
        </w:rPr>
        <w:t xml:space="preserve">投标人应提供机房运营及灾备服务方案，包括但不限于机房温湿度监控、机房配电监控、巡检、远程技术支撑等。</w:t>
      </w:r>
      <w:r/>
    </w:p>
    <w:p>
      <w:pPr>
        <w:pStyle w:val="908"/>
        <w:numPr>
          <w:ilvl w:val="0"/>
          <w:numId w:val="9"/>
        </w:numPr>
        <w:rPr>
          <w:rFonts w:ascii="Times New Roman"/>
        </w:rPr>
      </w:pPr>
      <w:r>
        <w:rPr>
          <w:rFonts w:ascii="Times New Roman"/>
        </w:rPr>
        <w:t xml:space="preserve">项目服务团队</w:t>
      </w:r>
      <w:r/>
    </w:p>
    <w:p>
      <w:pPr>
        <w:pStyle w:val="1025"/>
        <w:ind w:firstLine="480"/>
        <w:rPr>
          <w:rFonts w:ascii="Times New Roman" w:hAnsi="Times New Roman"/>
          <w:color w:val="000000"/>
        </w:rPr>
      </w:pPr>
      <w:r>
        <w:rPr>
          <w:rFonts w:ascii="Times New Roman" w:hAnsi="Times New Roman"/>
          <w:color w:val="000000"/>
        </w:rPr>
        <w:t xml:space="preserve">为满足本项目建设与服务要求，投标人提供的项目服务团队应具备足够的专业技术能力，具有完善的组织架构，至少包括1名项目经理、以及不少于8人的运维团队成员。</w:t>
      </w:r>
      <w:r/>
    </w:p>
    <w:p>
      <w:pPr>
        <w:pStyle w:val="1025"/>
        <w:ind w:firstLine="480"/>
        <w:rPr>
          <w:rFonts w:ascii="Times New Roman" w:hAnsi="Times New Roman"/>
          <w:color w:val="000000"/>
          <w:lang w:val="zh-CN"/>
        </w:rPr>
      </w:pPr>
      <w:r>
        <w:rPr>
          <w:rFonts w:ascii="Times New Roman" w:hAnsi="Times New Roman"/>
          <w:color w:val="000000"/>
          <w:lang w:val="zh-CN"/>
        </w:rPr>
        <w:t xml:space="preserve">项目经理具备高级工程师证书（通信工程或电子信息类）、ITSS IT服务项目经理证书、一级建造师（通信与广电工程）、网络安全能力认证证书CCSC证书。</w:t>
      </w:r>
      <w:r/>
    </w:p>
    <w:p>
      <w:pPr>
        <w:pStyle w:val="1025"/>
        <w:ind w:firstLine="480"/>
        <w:rPr>
          <w:rFonts w:ascii="Times New Roman" w:hAnsi="Times New Roman"/>
          <w:color w:val="000000"/>
          <w:lang w:val="zh-CN"/>
        </w:rPr>
      </w:pPr>
      <w:r>
        <w:rPr>
          <w:rFonts w:ascii="Times New Roman" w:hAnsi="Times New Roman"/>
          <w:color w:val="000000"/>
          <w:lang w:val="zh-CN"/>
        </w:rPr>
        <w:t xml:space="preserve">技术负责人具备高级工程师证书（电子信息类）、信息系统项目管理师证书、系统规划与管理师证书、注册信息安全管理人员（CISP-CISO）证书。</w:t>
      </w:r>
      <w:r/>
    </w:p>
    <w:p>
      <w:pPr>
        <w:pStyle w:val="1025"/>
        <w:ind w:firstLine="480"/>
        <w:rPr>
          <w:rFonts w:ascii="Times New Roman" w:hAnsi="Times New Roman"/>
          <w:color w:val="000000"/>
          <w:lang w:val="zh-CN"/>
        </w:rPr>
      </w:pPr>
      <w:r>
        <w:rPr>
          <w:rFonts w:ascii="Times New Roman" w:hAnsi="Times New Roman"/>
          <w:color w:val="000000"/>
          <w:lang w:val="zh-CN"/>
        </w:rPr>
        <w:t xml:space="preserve">安全负责人具备高级工程师证书（电子信息工程类）、信息系统项目管理师证书、ITSS IT服务工程师证书、注册信息安全管理人员（CISP-CISO）证书</w:t>
      </w:r>
      <w:r/>
    </w:p>
    <w:p>
      <w:pPr>
        <w:pStyle w:val="1025"/>
        <w:ind w:firstLine="480"/>
        <w:rPr>
          <w:rFonts w:ascii="Times New Roman" w:hAnsi="Times New Roman"/>
          <w:color w:val="000000"/>
          <w:lang w:val="zh-CN"/>
        </w:rPr>
      </w:pPr>
      <w:r>
        <w:rPr>
          <w:rFonts w:ascii="Times New Roman" w:hAnsi="Times New Roman"/>
          <w:color w:val="000000"/>
          <w:lang w:val="zh-CN"/>
        </w:rPr>
        <w:t xml:space="preserve">运维团队成员中具备注册信息安全工程师CISP认证证书、高级网络规划</w:t>
      </w:r>
      <w:r>
        <w:rPr>
          <w:rFonts w:ascii="Times New Roman" w:hAnsi="Times New Roman"/>
          <w:color w:val="000000"/>
        </w:rPr>
        <w:t xml:space="preserve">设计</w:t>
      </w:r>
      <w:r>
        <w:rPr>
          <w:rFonts w:ascii="Times New Roman" w:hAnsi="Times New Roman"/>
          <w:color w:val="000000"/>
          <w:lang w:val="zh-CN"/>
        </w:rPr>
        <w:t xml:space="preserve">师、信息安全保障人员认证证书CISAW</w:t>
      </w:r>
      <w:r>
        <w:rPr>
          <w:rFonts w:ascii="Times New Roman" w:hAnsi="Times New Roman"/>
          <w:color w:val="000000"/>
        </w:rPr>
        <w:t xml:space="preserve">（安全运维或应急服务）、注册信息系统安全专家（CISSP）</w:t>
      </w:r>
      <w:r>
        <w:rPr>
          <w:rFonts w:ascii="Times New Roman" w:hAnsi="Times New Roman"/>
          <w:color w:val="000000"/>
          <w:lang w:val="zh-CN"/>
        </w:rPr>
        <w:t xml:space="preserve">等项目相关的资质认证证书。</w:t>
      </w:r>
      <w:r/>
    </w:p>
    <w:p>
      <w:pPr>
        <w:pStyle w:val="1025"/>
        <w:ind w:firstLine="480"/>
        <w:rPr>
          <w:rFonts w:ascii="Times New Roman" w:hAnsi="Times New Roman"/>
          <w:color w:val="000000"/>
        </w:rPr>
      </w:pPr>
      <w:r>
        <w:rPr>
          <w:rFonts w:ascii="Times New Roman" w:hAnsi="Times New Roman"/>
          <w:color w:val="000000"/>
        </w:rPr>
        <w:t xml:space="preserve">投标人需提供有效证书复印件及投标人为其缴纳的近三个月任意一个月的社保证明材料。</w:t>
      </w:r>
      <w:r/>
    </w:p>
    <w:p>
      <w:pPr>
        <w:pStyle w:val="1025"/>
        <w:ind w:firstLine="482"/>
        <w:rPr>
          <w:rFonts w:ascii="Times New Roman" w:hAnsi="Times New Roman"/>
          <w:b/>
          <w:i/>
          <w:color w:val="000000"/>
          <w:u w:val="single"/>
        </w:rPr>
      </w:pPr>
      <w:r>
        <w:rPr>
          <w:rFonts w:ascii="Times New Roman" w:hAnsi="Times New Roman"/>
          <w:b/>
          <w:i/>
          <w:color w:val="000000"/>
          <w:u w:val="single"/>
        </w:rPr>
        <w:t xml:space="preserve">项目团队需有一人在省生态环境厅驻场，提供与采购人工作时间相同的驻场运维服务，及时协调解决日常使用、运维中的故障。</w:t>
      </w:r>
      <w:r/>
    </w:p>
    <w:p>
      <w:pPr>
        <w:pStyle w:val="908"/>
        <w:numPr>
          <w:ilvl w:val="0"/>
          <w:numId w:val="9"/>
        </w:numPr>
        <w:rPr>
          <w:rFonts w:ascii="Times New Roman"/>
        </w:rPr>
      </w:pPr>
      <w:r>
        <w:rPr>
          <w:rFonts w:ascii="Times New Roman"/>
        </w:rPr>
        <w:t xml:space="preserve">投标人履约能力</w:t>
      </w:r>
      <w:r/>
    </w:p>
    <w:p>
      <w:pPr>
        <w:pStyle w:val="1025"/>
        <w:ind w:firstLine="480"/>
        <w:rPr>
          <w:rFonts w:ascii="Times New Roman" w:hAnsi="Times New Roman"/>
          <w:color w:val="000000"/>
          <w:lang w:val="zh-CN"/>
        </w:rPr>
      </w:pPr>
      <w:r>
        <w:rPr>
          <w:rFonts w:ascii="Times New Roman" w:hAnsi="Times New Roman"/>
          <w:color w:val="000000"/>
          <w:lang w:val="zh-CN"/>
        </w:rPr>
        <w:t xml:space="preserve">投标人具有国家认证认</w:t>
      </w:r>
      <w:r>
        <w:rPr>
          <w:rFonts w:ascii="Times New Roman" w:hAnsi="Times New Roman"/>
          <w:color w:val="000000"/>
          <w:lang w:val="zh-CN"/>
        </w:rPr>
        <w:t xml:space="preserve">可监督管理委员会认可的机构颁发的有效期内的ISO9001质量管理体系认证、ISO20000信息技术服务管理体系认证、ISO27001信息安全管理体系认证，投标人具有中国信息安全测评中心颁发的国家信息安全漏洞库（CNNVD）技术支撑单位等级（一级）证书，具有中国通信工业协会颁发的信息系统业务安全服务资质证书，投标人具有GB/T 30146-2023业务连续性管理体系认证证书、GB/T 37228-2025应急预案管理体系认证证书、GB/T 35966-2018 高技术质量服务认证证书，提供有效期内证书复印件。</w:t>
      </w:r>
      <w:r/>
    </w:p>
    <w:p>
      <w:pPr>
        <w:pStyle w:val="1025"/>
        <w:ind w:firstLine="480"/>
        <w:rPr>
          <w:rFonts w:ascii="Times New Roman" w:hAnsi="Times New Roman"/>
          <w:color w:val="000000"/>
        </w:rPr>
      </w:pPr>
      <w:r>
        <w:rPr>
          <w:rFonts w:ascii="Times New Roman" w:hAnsi="Times New Roman"/>
          <w:color w:val="000000"/>
          <w:lang w:val="zh-CN"/>
        </w:rPr>
        <w:t xml:space="preserve">提供202</w:t>
      </w:r>
      <w:r>
        <w:rPr>
          <w:rFonts w:ascii="Times New Roman" w:hAnsi="Times New Roman"/>
          <w:color w:val="000000"/>
        </w:rPr>
        <w:t xml:space="preserve">3</w:t>
      </w:r>
      <w:r>
        <w:rPr>
          <w:rFonts w:ascii="Times New Roman" w:hAnsi="Times New Roman"/>
          <w:color w:val="000000"/>
          <w:lang w:val="zh-CN"/>
        </w:rPr>
        <w:t xml:space="preserve">年1月1日以来（以合同签订时间为准）签署的</w:t>
      </w:r>
      <w:r>
        <w:rPr>
          <w:rFonts w:ascii="Times New Roman" w:hAnsi="Times New Roman"/>
          <w:color w:val="000000"/>
        </w:rPr>
        <w:t xml:space="preserve">业务</w:t>
      </w:r>
      <w:r>
        <w:rPr>
          <w:rFonts w:ascii="Times New Roman" w:hAnsi="Times New Roman"/>
          <w:color w:val="000000"/>
          <w:lang w:val="zh-CN"/>
        </w:rPr>
        <w:t xml:space="preserve">专网运营服务，（需提供可证明为</w:t>
      </w:r>
      <w:r>
        <w:rPr>
          <w:rFonts w:ascii="Times New Roman" w:hAnsi="Times New Roman"/>
          <w:color w:val="000000"/>
        </w:rPr>
        <w:t xml:space="preserve">业务</w:t>
      </w:r>
      <w:r>
        <w:rPr>
          <w:rFonts w:ascii="Times New Roman" w:hAnsi="Times New Roman"/>
          <w:color w:val="000000"/>
          <w:lang w:val="zh-CN"/>
        </w:rPr>
        <w:t xml:space="preserve">专网运营服务的相关内容及签署日期的关键页合同复印件，合同需为与最终用户签订的合同）</w:t>
      </w:r>
      <w:r>
        <w:rPr>
          <w:rFonts w:ascii="Times New Roman" w:hAnsi="Times New Roman"/>
          <w:color w:val="000000"/>
        </w:rPr>
      </w:r>
      <w:r/>
    </w:p>
    <w:p>
      <w:pPr>
        <w:pStyle w:val="906"/>
        <w:rPr>
          <w:color w:val="000000"/>
        </w:rPr>
      </w:pPr>
      <w:r>
        <w:rPr>
          <w:color w:val="000000"/>
        </w:rPr>
        <w:t xml:space="preserve">采购包2：江苏省生态环境厅视频监控租赁和移动办公数据接入服务项目</w:t>
      </w:r>
      <w:r/>
    </w:p>
    <w:p>
      <w:pPr>
        <w:pStyle w:val="907"/>
        <w:numPr>
          <w:ilvl w:val="0"/>
          <w:numId w:val="10"/>
        </w:numPr>
        <w:spacing w:before="0" w:after="0" w:line="360" w:lineRule="auto"/>
        <w:rPr>
          <w:rFonts w:ascii="Times New Roman" w:hAnsi="Times New Roman"/>
          <w:color w:val="000000"/>
        </w:rPr>
      </w:pPr>
      <w:r>
        <w:rPr>
          <w:rFonts w:ascii="Times New Roman" w:hAnsi="Times New Roman"/>
          <w:color w:val="000000"/>
        </w:rPr>
        <w:t xml:space="preserve">环太湖视频监控系统</w:t>
      </w:r>
      <w:r/>
    </w:p>
    <w:p>
      <w:pPr>
        <w:pStyle w:val="1025"/>
        <w:ind w:firstLine="480"/>
        <w:rPr>
          <w:rFonts w:ascii="Times New Roman" w:hAnsi="Times New Roman"/>
          <w:color w:val="000000"/>
        </w:rPr>
      </w:pPr>
      <w:r>
        <w:rPr>
          <w:rFonts w:ascii="Times New Roman" w:hAnsi="Times New Roman"/>
          <w:color w:val="000000"/>
        </w:rPr>
        <w:t xml:space="preserve">建立环太湖视频监控系统，提供无锡、宜兴、苏州、常州等地共计46个点位的视频监控及网络线路租用服务，实现对监控点统一管理、分权监控，进行实时监控。主要服务需求：</w:t>
      </w:r>
      <w:r/>
    </w:p>
    <w:p>
      <w:pPr>
        <w:pStyle w:val="1025"/>
        <w:ind w:firstLine="480"/>
        <w:rPr>
          <w:rFonts w:ascii="Times New Roman" w:hAnsi="Times New Roman"/>
          <w:color w:val="000000"/>
        </w:rPr>
      </w:pPr>
      <w:r>
        <w:rPr>
          <w:rFonts w:ascii="Times New Roman" w:hAnsi="Times New Roman"/>
          <w:color w:val="000000"/>
        </w:rPr>
        <w:t xml:space="preserve">相关设备日常维护工作：光缆维护、供电维护、摄像头清洁、摄像头前障碍物清理、太阳能板清洁、前端存储设备维护、全球眼平台维护等。</w:t>
      </w:r>
      <w:r/>
    </w:p>
    <w:p>
      <w:pPr>
        <w:pStyle w:val="1025"/>
        <w:ind w:firstLine="480"/>
        <w:rPr>
          <w:rFonts w:ascii="Times New Roman" w:hAnsi="Times New Roman"/>
          <w:color w:val="000000"/>
        </w:rPr>
      </w:pPr>
      <w:r>
        <w:rPr>
          <w:rFonts w:ascii="Times New Roman" w:hAnsi="Times New Roman"/>
          <w:color w:val="000000"/>
        </w:rPr>
        <w:t xml:space="preserve">为46个监控点位提供更新摄像头服务，为有线和无线网络接入服务。</w:t>
      </w:r>
      <w:r/>
    </w:p>
    <w:p>
      <w:pPr>
        <w:pStyle w:val="1025"/>
        <w:ind w:firstLine="480"/>
        <w:rPr>
          <w:rFonts w:ascii="Times New Roman" w:hAnsi="Times New Roman"/>
          <w:color w:val="000000"/>
        </w:rPr>
      </w:pPr>
      <w:r>
        <w:rPr>
          <w:rFonts w:ascii="Times New Roman" w:hAnsi="Times New Roman"/>
          <w:color w:val="000000"/>
        </w:rPr>
        <w:t xml:space="preserve">提供集中视频监控应用平台软件，实现对本次项目中环太湖沿岸各视频监控点网络高清摄像头的管理及视频查看功能。</w:t>
      </w:r>
      <w:r/>
    </w:p>
    <w:p>
      <w:pPr>
        <w:pStyle w:val="1025"/>
        <w:ind w:firstLine="480"/>
        <w:rPr>
          <w:rFonts w:ascii="Times New Roman" w:hAnsi="Times New Roman"/>
          <w:color w:val="000000"/>
        </w:rPr>
      </w:pPr>
      <w:r>
        <w:rPr>
          <w:rFonts w:ascii="Times New Roman" w:hAnsi="Times New Roman"/>
          <w:color w:val="000000"/>
        </w:rPr>
        <w:t xml:space="preserve">系统故障响应时间：通知起2小时内响应，72小时内修复。突发紧急事件应1小时内响应，24小时内解决故障。（湖面监控除外）。</w:t>
      </w:r>
      <w:r/>
    </w:p>
    <w:tbl>
      <w:tblPr>
        <w:tblW w:w="7336"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78"/>
        <w:gridCol w:w="794"/>
        <w:gridCol w:w="1467"/>
        <w:gridCol w:w="928"/>
        <w:gridCol w:w="1197"/>
        <w:gridCol w:w="1672"/>
      </w:tblGrid>
      <w:tr>
        <w:trPr>
          <w:trHeight w:val="270"/>
        </w:trPr>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rPr>
                <w:b/>
                <w:color w:val="000000"/>
              </w:rPr>
            </w:pPr>
            <w:r>
              <w:rPr>
                <w:b/>
                <w:color w:val="000000"/>
              </w:rPr>
              <w:t xml:space="preserve">序号</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rPr>
                <w:b/>
                <w:color w:val="000000"/>
              </w:rPr>
            </w:pPr>
            <w:r>
              <w:rPr>
                <w:b/>
                <w:color w:val="000000"/>
              </w:rPr>
              <w:t xml:space="preserve">地区</w:t>
            </w:r>
            <w:r/>
          </w:p>
        </w:tc>
        <w:tc>
          <w:tcPr>
            <w:tcBorders>
              <w:top w:val="single" w:color="000000" w:sz="4" w:space="0"/>
              <w:left w:val="none" w:color="000000" w:sz="4" w:space="0"/>
              <w:bottom w:val="single" w:color="000000" w:sz="4" w:space="0"/>
              <w:right w:val="single" w:color="000000" w:sz="4" w:space="0"/>
            </w:tcBorders>
            <w:tcW w:w="1467" w:type="dxa"/>
            <w:vAlign w:val="center"/>
            <w:textDirection w:val="lrTb"/>
            <w:noWrap/>
          </w:tcPr>
          <w:p>
            <w:pPr>
              <w:pStyle w:val="903"/>
              <w:jc w:val="center"/>
              <w:spacing w:after="160" w:line="278" w:lineRule="auto"/>
              <w:rPr>
                <w:b/>
                <w:color w:val="000000"/>
              </w:rPr>
            </w:pPr>
            <w:r>
              <w:rPr>
                <w:b/>
                <w:color w:val="000000"/>
              </w:rPr>
              <w:t xml:space="preserve">接入点名称</w:t>
            </w:r>
            <w:r/>
          </w:p>
        </w:tc>
        <w:tc>
          <w:tcPr>
            <w:tcBorders>
              <w:top w:val="singl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rPr>
                <w:b/>
                <w:color w:val="000000"/>
              </w:rPr>
            </w:pPr>
            <w:r>
              <w:rPr>
                <w:b/>
                <w:color w:val="000000"/>
              </w:rPr>
              <w:t xml:space="preserve">序号</w:t>
            </w:r>
            <w:r/>
          </w:p>
        </w:tc>
        <w:tc>
          <w:tcPr>
            <w:tcBorders>
              <w:top w:val="singl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rPr>
                <w:b/>
                <w:color w:val="000000"/>
              </w:rPr>
            </w:pPr>
            <w:r>
              <w:rPr>
                <w:b/>
                <w:color w:val="000000"/>
              </w:rPr>
              <w:t xml:space="preserve">地区</w:t>
            </w:r>
            <w:r/>
          </w:p>
        </w:tc>
        <w:tc>
          <w:tcPr>
            <w:tcBorders>
              <w:top w:val="single" w:color="000000" w:sz="4" w:space="0"/>
              <w:left w:val="none" w:color="000000" w:sz="4" w:space="0"/>
              <w:bottom w:val="single" w:color="000000" w:sz="4" w:space="0"/>
              <w:right w:val="single" w:color="000000" w:sz="4" w:space="0"/>
            </w:tcBorders>
            <w:tcW w:w="1672" w:type="dxa"/>
            <w:vAlign w:val="center"/>
            <w:textDirection w:val="lrTb"/>
            <w:noWrap w:val="false"/>
          </w:tcPr>
          <w:p>
            <w:pPr>
              <w:pStyle w:val="903"/>
              <w:jc w:val="center"/>
              <w:spacing w:after="160" w:line="278" w:lineRule="auto"/>
              <w:rPr>
                <w:b/>
                <w:color w:val="000000"/>
              </w:rPr>
            </w:pPr>
            <w:r>
              <w:rPr>
                <w:b/>
                <w:color w:val="000000"/>
              </w:rPr>
              <w:t xml:space="preserve">接入点名称</w:t>
            </w:r>
            <w:r/>
          </w:p>
        </w:tc>
      </w:tr>
      <w:tr>
        <w:trPr>
          <w:trHeight w:val="483"/>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1</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常州</w:t>
            </w:r>
            <w:r/>
          </w:p>
        </w:tc>
        <w:tc>
          <w:tcPr>
            <w:tcBorders>
              <w:top w:val="none" w:color="000000" w:sz="4" w:space="0"/>
              <w:left w:val="none" w:color="000000" w:sz="4" w:space="0"/>
              <w:bottom w:val="single" w:color="000000" w:sz="4" w:space="0"/>
              <w:right w:val="single" w:color="000000" w:sz="4" w:space="0"/>
            </w:tcBorders>
            <w:tcW w:w="1467" w:type="dxa"/>
            <w:vAlign w:val="center"/>
            <w:textDirection w:val="lrTb"/>
            <w:noWrap/>
          </w:tcPr>
          <w:p>
            <w:pPr>
              <w:pStyle w:val="903"/>
              <w:jc w:val="center"/>
              <w:spacing w:after="160" w:line="278" w:lineRule="auto"/>
              <w:widowControl/>
              <w:rPr>
                <w:color w:val="000000"/>
                <w:lang w:bidi="ar"/>
              </w:rPr>
            </w:pPr>
            <w:r>
              <w:rPr>
                <w:color w:val="000000"/>
                <w:lang w:bidi="ar"/>
              </w:rPr>
              <w:t xml:space="preserve">常州百渎湿地-武进区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24</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672" w:type="dxa"/>
            <w:vAlign w:val="top"/>
            <w:textDirection w:val="lrTb"/>
            <w:noWrap w:val="false"/>
          </w:tcPr>
          <w:p>
            <w:pPr>
              <w:pStyle w:val="903"/>
              <w:jc w:val="center"/>
              <w:spacing w:after="160" w:line="278" w:lineRule="auto"/>
              <w:widowControl/>
              <w:rPr>
                <w:color w:val="000000"/>
                <w:lang w:bidi="ar"/>
              </w:rPr>
            </w:pPr>
            <w:r>
              <w:rPr>
                <w:color w:val="000000"/>
                <w:lang w:bidi="ar"/>
              </w:rPr>
              <w:t xml:space="preserve">无锡鼋头渚-滨湖区</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2</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常州</w:t>
            </w:r>
            <w:r/>
          </w:p>
        </w:tc>
        <w:tc>
          <w:tcPr>
            <w:tcBorders>
              <w:top w:val="none" w:color="000000" w:sz="4" w:space="0"/>
              <w:left w:val="none" w:color="000000" w:sz="4" w:space="0"/>
              <w:bottom w:val="single" w:color="000000" w:sz="4" w:space="0"/>
              <w:right w:val="single" w:color="000000" w:sz="4" w:space="0"/>
            </w:tcBorders>
            <w:tcW w:w="1467" w:type="dxa"/>
            <w:vAlign w:val="center"/>
            <w:textDirection w:val="lrTb"/>
            <w:noWrap/>
          </w:tcPr>
          <w:p>
            <w:pPr>
              <w:pStyle w:val="903"/>
              <w:jc w:val="center"/>
              <w:spacing w:after="160" w:line="278" w:lineRule="auto"/>
              <w:widowControl/>
              <w:rPr>
                <w:color w:val="000000"/>
                <w:lang w:bidi="ar"/>
              </w:rPr>
            </w:pPr>
            <w:r>
              <w:rPr>
                <w:color w:val="000000"/>
                <w:lang w:bidi="ar"/>
              </w:rPr>
              <w:t xml:space="preserve">常州九孔桥-武进区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25</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672" w:type="dxa"/>
            <w:vAlign w:val="top"/>
            <w:textDirection w:val="lrTb"/>
            <w:noWrap w:val="false"/>
          </w:tcPr>
          <w:p>
            <w:pPr>
              <w:pStyle w:val="903"/>
              <w:jc w:val="center"/>
              <w:spacing w:after="160" w:line="278" w:lineRule="auto"/>
              <w:widowControl/>
              <w:rPr>
                <w:color w:val="000000"/>
                <w:lang w:bidi="ar"/>
              </w:rPr>
            </w:pPr>
            <w:r>
              <w:rPr>
                <w:color w:val="000000"/>
                <w:lang w:bidi="ar"/>
              </w:rPr>
              <w:t xml:space="preserve">无锡小溪港-滨湖区</w:t>
            </w:r>
            <w:r/>
          </w:p>
        </w:tc>
      </w:tr>
      <w:tr>
        <w:trPr>
          <w:trHeight w:val="592"/>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3</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常州</w:t>
            </w:r>
            <w:r/>
          </w:p>
        </w:tc>
        <w:tc>
          <w:tcPr>
            <w:tcBorders>
              <w:top w:val="none" w:color="000000" w:sz="4" w:space="0"/>
              <w:left w:val="none" w:color="000000" w:sz="4" w:space="0"/>
              <w:bottom w:val="single" w:color="000000" w:sz="4" w:space="0"/>
              <w:right w:val="single" w:color="000000" w:sz="4" w:space="0"/>
            </w:tcBorders>
            <w:tcW w:w="1467" w:type="dxa"/>
            <w:vAlign w:val="center"/>
            <w:textDirection w:val="lrTb"/>
            <w:noWrap/>
          </w:tcPr>
          <w:p>
            <w:pPr>
              <w:pStyle w:val="903"/>
              <w:jc w:val="center"/>
              <w:spacing w:after="160" w:line="278" w:lineRule="auto"/>
              <w:widowControl/>
              <w:rPr>
                <w:color w:val="000000"/>
                <w:lang w:bidi="ar"/>
              </w:rPr>
            </w:pPr>
            <w:r>
              <w:rPr>
                <w:color w:val="000000"/>
                <w:lang w:bidi="ar"/>
              </w:rPr>
              <w:t xml:space="preserve">常州太滆港-武进区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26</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672" w:type="dxa"/>
            <w:vAlign w:val="top"/>
            <w:textDirection w:val="lrTb"/>
            <w:noWrap w:val="false"/>
          </w:tcPr>
          <w:p>
            <w:pPr>
              <w:pStyle w:val="903"/>
              <w:jc w:val="center"/>
              <w:spacing w:after="160" w:line="278" w:lineRule="auto"/>
              <w:widowControl/>
              <w:rPr>
                <w:color w:val="000000"/>
                <w:lang w:bidi="ar"/>
              </w:rPr>
            </w:pPr>
            <w:r>
              <w:rPr>
                <w:color w:val="000000"/>
                <w:lang w:bidi="ar"/>
              </w:rPr>
              <w:t xml:space="preserve">无锡许仙港-滨湖区</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4</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常州</w:t>
            </w:r>
            <w:r/>
          </w:p>
        </w:tc>
        <w:tc>
          <w:tcPr>
            <w:tcBorders>
              <w:top w:val="none" w:color="000000" w:sz="4" w:space="0"/>
              <w:left w:val="none" w:color="000000" w:sz="4" w:space="0"/>
              <w:bottom w:val="single" w:color="000000" w:sz="4" w:space="0"/>
              <w:right w:val="single" w:color="000000" w:sz="4" w:space="0"/>
            </w:tcBorders>
            <w:tcW w:w="1467" w:type="dxa"/>
            <w:vAlign w:val="center"/>
            <w:textDirection w:val="lrTb"/>
            <w:noWrap/>
          </w:tcPr>
          <w:p>
            <w:pPr>
              <w:pStyle w:val="903"/>
              <w:jc w:val="center"/>
              <w:spacing w:after="160" w:line="278" w:lineRule="auto"/>
              <w:widowControl/>
              <w:rPr>
                <w:color w:val="000000"/>
                <w:lang w:bidi="ar"/>
              </w:rPr>
            </w:pPr>
            <w:r>
              <w:rPr>
                <w:color w:val="000000"/>
                <w:lang w:bidi="ar"/>
              </w:rPr>
              <w:t xml:space="preserve">常州雅浦港湖面-武进区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27</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无锡南泉水厂取水口一期-滨湖区</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5</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常州</w:t>
            </w:r>
            <w:r/>
          </w:p>
        </w:tc>
        <w:tc>
          <w:tcPr>
            <w:tcBorders>
              <w:top w:val="none" w:color="000000" w:sz="4" w:space="0"/>
              <w:left w:val="none" w:color="000000" w:sz="4" w:space="0"/>
              <w:bottom w:val="single" w:color="000000" w:sz="4" w:space="0"/>
              <w:right w:val="single" w:color="000000" w:sz="4" w:space="0"/>
            </w:tcBorders>
            <w:tcW w:w="1467" w:type="dxa"/>
            <w:vAlign w:val="center"/>
            <w:textDirection w:val="lrTb"/>
            <w:noWrap/>
          </w:tcPr>
          <w:p>
            <w:pPr>
              <w:pStyle w:val="903"/>
              <w:jc w:val="center"/>
              <w:spacing w:after="160" w:line="278" w:lineRule="auto"/>
              <w:widowControl/>
              <w:rPr>
                <w:color w:val="000000"/>
                <w:lang w:bidi="ar"/>
              </w:rPr>
            </w:pPr>
            <w:r>
              <w:rPr>
                <w:color w:val="000000"/>
                <w:lang w:bidi="ar"/>
              </w:rPr>
              <w:t xml:space="preserve">常州竺山湖湖面-武进区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28</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无锡锡东水厂</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6</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苏州</w:t>
            </w:r>
            <w:r/>
          </w:p>
        </w:tc>
        <w:tc>
          <w:tcPr>
            <w:tcBorders>
              <w:top w:val="none" w:color="000000" w:sz="4" w:space="0"/>
              <w:left w:val="none" w:color="000000" w:sz="4" w:space="0"/>
              <w:bottom w:val="single" w:color="000000" w:sz="4" w:space="0"/>
              <w:right w:val="single" w:color="000000" w:sz="4" w:space="0"/>
            </w:tcBorders>
            <w:tcW w:w="1467" w:type="dxa"/>
            <w:vAlign w:val="center"/>
            <w:textDirection w:val="lrTb"/>
            <w:noWrap/>
          </w:tcPr>
          <w:p>
            <w:pPr>
              <w:pStyle w:val="903"/>
              <w:jc w:val="center"/>
              <w:spacing w:after="160" w:line="278" w:lineRule="auto"/>
              <w:widowControl/>
              <w:rPr>
                <w:color w:val="000000"/>
                <w:lang w:bidi="ar"/>
              </w:rPr>
            </w:pPr>
            <w:r>
              <w:rPr>
                <w:color w:val="000000"/>
                <w:lang w:bidi="ar"/>
              </w:rPr>
              <w:t xml:space="preserve">苏州庙港水源地-吴江区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29</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672" w:type="dxa"/>
            <w:vAlign w:val="top"/>
            <w:textDirection w:val="lrTb"/>
            <w:noWrap w:val="false"/>
          </w:tcPr>
          <w:p>
            <w:pPr>
              <w:pStyle w:val="903"/>
              <w:jc w:val="center"/>
              <w:spacing w:after="160" w:line="278" w:lineRule="auto"/>
              <w:widowControl/>
              <w:rPr>
                <w:color w:val="000000"/>
                <w:lang w:bidi="ar"/>
              </w:rPr>
            </w:pPr>
            <w:r>
              <w:rPr>
                <w:color w:val="000000"/>
                <w:lang w:bidi="ar"/>
              </w:rPr>
              <w:t xml:space="preserve">无锡六步港-滨湖区</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7</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苏州</w:t>
            </w:r>
            <w:r/>
          </w:p>
        </w:tc>
        <w:tc>
          <w:tcPr>
            <w:tcBorders>
              <w:top w:val="none" w:color="000000" w:sz="4" w:space="0"/>
              <w:left w:val="none" w:color="000000" w:sz="4" w:space="0"/>
              <w:bottom w:val="single" w:color="000000" w:sz="4" w:space="0"/>
              <w:right w:val="single" w:color="000000" w:sz="4" w:space="0"/>
            </w:tcBorders>
            <w:tcW w:w="1467" w:type="dxa"/>
            <w:vAlign w:val="center"/>
            <w:textDirection w:val="lrTb"/>
            <w:noWrap/>
          </w:tcPr>
          <w:p>
            <w:pPr>
              <w:pStyle w:val="903"/>
              <w:jc w:val="center"/>
              <w:spacing w:after="160" w:line="278" w:lineRule="auto"/>
              <w:widowControl/>
              <w:rPr>
                <w:color w:val="000000"/>
                <w:lang w:bidi="ar"/>
              </w:rPr>
            </w:pPr>
            <w:r>
              <w:rPr>
                <w:color w:val="000000"/>
                <w:lang w:bidi="ar"/>
              </w:rPr>
              <w:t xml:space="preserve">苏州上山水源地-虎丘区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30</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672" w:type="dxa"/>
            <w:vAlign w:val="top"/>
            <w:textDirection w:val="lrTb"/>
            <w:noWrap w:val="false"/>
          </w:tcPr>
          <w:p>
            <w:pPr>
              <w:pStyle w:val="903"/>
              <w:jc w:val="center"/>
              <w:spacing w:after="160" w:line="278" w:lineRule="auto"/>
              <w:widowControl/>
              <w:rPr>
                <w:color w:val="000000"/>
                <w:lang w:bidi="ar"/>
              </w:rPr>
            </w:pPr>
            <w:r>
              <w:rPr>
                <w:color w:val="000000"/>
                <w:lang w:bidi="ar"/>
              </w:rPr>
              <w:t xml:space="preserve">无锡黄泥田港-滨湖区</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8</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苏州</w:t>
            </w:r>
            <w:r/>
          </w:p>
        </w:tc>
        <w:tc>
          <w:tcPr>
            <w:tcBorders>
              <w:top w:val="none" w:color="000000" w:sz="4" w:space="0"/>
              <w:left w:val="none" w:color="000000" w:sz="4" w:space="0"/>
              <w:bottom w:val="single" w:color="000000" w:sz="4" w:space="0"/>
              <w:right w:val="single" w:color="000000" w:sz="4" w:space="0"/>
            </w:tcBorders>
            <w:tcW w:w="1467" w:type="dxa"/>
            <w:vAlign w:val="center"/>
            <w:textDirection w:val="lrTb"/>
            <w:noWrap/>
          </w:tcPr>
          <w:p>
            <w:pPr>
              <w:pStyle w:val="903"/>
              <w:jc w:val="center"/>
              <w:spacing w:after="160" w:line="278" w:lineRule="auto"/>
              <w:widowControl/>
              <w:rPr>
                <w:color w:val="000000"/>
                <w:lang w:bidi="ar"/>
              </w:rPr>
            </w:pPr>
            <w:r>
              <w:rPr>
                <w:color w:val="000000"/>
                <w:lang w:bidi="ar"/>
              </w:rPr>
              <w:t xml:space="preserve">苏州寺前水源地-吴中区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31</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672" w:type="dxa"/>
            <w:vAlign w:val="top"/>
            <w:textDirection w:val="lrTb"/>
            <w:noWrap w:val="false"/>
          </w:tcPr>
          <w:p>
            <w:pPr>
              <w:pStyle w:val="903"/>
              <w:jc w:val="center"/>
              <w:spacing w:after="160" w:line="278" w:lineRule="auto"/>
              <w:widowControl/>
              <w:rPr>
                <w:color w:val="000000"/>
                <w:lang w:bidi="ar"/>
              </w:rPr>
            </w:pPr>
            <w:r>
              <w:rPr>
                <w:color w:val="000000"/>
                <w:lang w:bidi="ar"/>
              </w:rPr>
              <w:t xml:space="preserve">无锡千波桥-滨湖区</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9</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苏州</w:t>
            </w:r>
            <w:r/>
          </w:p>
        </w:tc>
        <w:tc>
          <w:tcPr>
            <w:tcBorders>
              <w:top w:val="none" w:color="000000" w:sz="4" w:space="0"/>
              <w:left w:val="none" w:color="000000" w:sz="4" w:space="0"/>
              <w:bottom w:val="single" w:color="000000" w:sz="4" w:space="0"/>
              <w:right w:val="single" w:color="000000" w:sz="4" w:space="0"/>
            </w:tcBorders>
            <w:tcW w:w="1467" w:type="dxa"/>
            <w:vAlign w:val="center"/>
            <w:textDirection w:val="lrTb"/>
            <w:noWrap/>
          </w:tcPr>
          <w:p>
            <w:pPr>
              <w:pStyle w:val="903"/>
              <w:jc w:val="center"/>
              <w:spacing w:after="160" w:line="278" w:lineRule="auto"/>
              <w:widowControl/>
              <w:rPr>
                <w:color w:val="000000"/>
                <w:lang w:bidi="ar"/>
              </w:rPr>
            </w:pPr>
            <w:r>
              <w:rPr>
                <w:color w:val="000000"/>
                <w:lang w:bidi="ar"/>
              </w:rPr>
              <w:t xml:space="preserve">苏州亭子港水源地-吴江区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32</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672" w:type="dxa"/>
            <w:vAlign w:val="top"/>
            <w:textDirection w:val="lrTb"/>
            <w:noWrap w:val="false"/>
          </w:tcPr>
          <w:p>
            <w:pPr>
              <w:pStyle w:val="903"/>
              <w:jc w:val="center"/>
              <w:spacing w:after="160" w:line="278" w:lineRule="auto"/>
              <w:widowControl/>
              <w:rPr>
                <w:color w:val="000000"/>
                <w:lang w:bidi="ar"/>
              </w:rPr>
            </w:pPr>
            <w:r>
              <w:rPr>
                <w:color w:val="000000"/>
                <w:lang w:bidi="ar"/>
              </w:rPr>
              <w:t xml:space="preserve">无锡大箕山-滨湖区</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10</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苏州</w:t>
            </w:r>
            <w:r/>
          </w:p>
        </w:tc>
        <w:tc>
          <w:tcPr>
            <w:tcBorders>
              <w:top w:val="none" w:color="000000" w:sz="4" w:space="0"/>
              <w:left w:val="none" w:color="000000" w:sz="4" w:space="0"/>
              <w:bottom w:val="single" w:color="000000" w:sz="4" w:space="0"/>
              <w:right w:val="single" w:color="000000" w:sz="4" w:space="0"/>
            </w:tcBorders>
            <w:tcW w:w="1467" w:type="dxa"/>
            <w:vAlign w:val="center"/>
            <w:textDirection w:val="lrTb"/>
            <w:noWrap/>
          </w:tcPr>
          <w:p>
            <w:pPr>
              <w:pStyle w:val="903"/>
              <w:jc w:val="center"/>
              <w:spacing w:after="160" w:line="278" w:lineRule="auto"/>
              <w:widowControl/>
              <w:rPr>
                <w:color w:val="000000"/>
                <w:lang w:bidi="ar"/>
              </w:rPr>
            </w:pPr>
            <w:r>
              <w:rPr>
                <w:color w:val="000000"/>
                <w:lang w:bidi="ar"/>
              </w:rPr>
              <w:t xml:space="preserve">苏州金墅湾水源地-虎丘区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33</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672" w:type="dxa"/>
            <w:vAlign w:val="top"/>
            <w:textDirection w:val="lrTb"/>
            <w:noWrap w:val="false"/>
          </w:tcPr>
          <w:p>
            <w:pPr>
              <w:pStyle w:val="903"/>
              <w:jc w:val="center"/>
              <w:spacing w:after="160" w:line="278" w:lineRule="auto"/>
              <w:widowControl/>
              <w:rPr>
                <w:color w:val="000000"/>
                <w:lang w:bidi="ar"/>
              </w:rPr>
            </w:pPr>
            <w:r>
              <w:rPr>
                <w:color w:val="000000"/>
                <w:lang w:bidi="ar"/>
              </w:rPr>
              <w:t xml:space="preserve">无锡杨湾-滨湖区</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11</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苏州</w:t>
            </w:r>
            <w:r/>
          </w:p>
        </w:tc>
        <w:tc>
          <w:tcPr>
            <w:tcBorders>
              <w:top w:val="none" w:color="000000" w:sz="4" w:space="0"/>
              <w:left w:val="none" w:color="000000" w:sz="4" w:space="0"/>
              <w:bottom w:val="single" w:color="000000" w:sz="4" w:space="0"/>
              <w:right w:val="single" w:color="000000" w:sz="4" w:space="0"/>
            </w:tcBorders>
            <w:tcW w:w="1467" w:type="dxa"/>
            <w:vAlign w:val="center"/>
            <w:textDirection w:val="lrTb"/>
            <w:noWrap/>
          </w:tcPr>
          <w:p>
            <w:pPr>
              <w:pStyle w:val="903"/>
              <w:jc w:val="center"/>
              <w:spacing w:after="160" w:line="278" w:lineRule="auto"/>
              <w:widowControl/>
              <w:rPr>
                <w:color w:val="000000"/>
                <w:lang w:bidi="ar"/>
              </w:rPr>
            </w:pPr>
            <w:r>
              <w:rPr>
                <w:color w:val="000000"/>
                <w:lang w:bidi="ar"/>
              </w:rPr>
              <w:t xml:space="preserve">苏州渔洋山水源地-吴中区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34</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672" w:type="dxa"/>
            <w:vAlign w:val="top"/>
            <w:textDirection w:val="lrTb"/>
            <w:noWrap w:val="false"/>
          </w:tcPr>
          <w:p>
            <w:pPr>
              <w:pStyle w:val="903"/>
              <w:jc w:val="center"/>
              <w:spacing w:after="160" w:line="278" w:lineRule="auto"/>
              <w:widowControl/>
              <w:rPr>
                <w:color w:val="000000"/>
                <w:lang w:bidi="ar"/>
              </w:rPr>
            </w:pPr>
            <w:r>
              <w:rPr>
                <w:color w:val="000000"/>
                <w:lang w:bidi="ar"/>
              </w:rPr>
              <w:t xml:space="preserve">无锡新港-滨湖区</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12</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467" w:type="dxa"/>
            <w:vAlign w:val="center"/>
            <w:textDirection w:val="lrTb"/>
            <w:noWrap/>
          </w:tcPr>
          <w:p>
            <w:pPr>
              <w:pStyle w:val="903"/>
              <w:jc w:val="center"/>
              <w:spacing w:after="160" w:line="278" w:lineRule="auto"/>
              <w:widowControl/>
              <w:rPr>
                <w:color w:val="000000"/>
                <w:lang w:bidi="ar"/>
              </w:rPr>
            </w:pPr>
            <w:r>
              <w:rPr>
                <w:color w:val="000000"/>
                <w:lang w:bidi="ar"/>
              </w:rPr>
              <w:t xml:space="preserve">东泉蓝藻打捞点</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35</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672" w:type="dxa"/>
            <w:vAlign w:val="top"/>
            <w:textDirection w:val="lrTb"/>
            <w:noWrap w:val="false"/>
          </w:tcPr>
          <w:p>
            <w:pPr>
              <w:pStyle w:val="903"/>
              <w:jc w:val="center"/>
              <w:spacing w:after="160" w:line="278" w:lineRule="auto"/>
              <w:widowControl/>
              <w:rPr>
                <w:color w:val="000000"/>
                <w:lang w:bidi="ar"/>
              </w:rPr>
            </w:pPr>
            <w:r>
              <w:rPr>
                <w:color w:val="000000"/>
                <w:lang w:bidi="ar"/>
              </w:rPr>
              <w:t xml:space="preserve">无锡直湖港-滨湖区</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13</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467" w:type="dxa"/>
            <w:vAlign w:val="center"/>
            <w:textDirection w:val="lrTb"/>
            <w:noWrap/>
          </w:tcPr>
          <w:p>
            <w:pPr>
              <w:pStyle w:val="903"/>
              <w:jc w:val="center"/>
              <w:spacing w:after="160" w:line="278" w:lineRule="auto"/>
              <w:widowControl/>
              <w:rPr>
                <w:color w:val="000000"/>
                <w:lang w:bidi="ar"/>
              </w:rPr>
            </w:pPr>
            <w:r>
              <w:rPr>
                <w:color w:val="000000"/>
                <w:lang w:bidi="ar"/>
              </w:rPr>
              <w:t xml:space="preserve">管社山码头</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36</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672" w:type="dxa"/>
            <w:vAlign w:val="top"/>
            <w:textDirection w:val="lrTb"/>
            <w:noWrap w:val="false"/>
          </w:tcPr>
          <w:p>
            <w:pPr>
              <w:pStyle w:val="903"/>
              <w:jc w:val="center"/>
              <w:spacing w:after="160" w:line="278" w:lineRule="auto"/>
              <w:widowControl/>
              <w:rPr>
                <w:color w:val="000000"/>
                <w:lang w:bidi="ar"/>
              </w:rPr>
            </w:pPr>
            <w:r>
              <w:rPr>
                <w:color w:val="000000"/>
                <w:lang w:bidi="ar"/>
              </w:rPr>
              <w:t xml:space="preserve">无锡北闸口-滨湖区</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14</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467" w:type="dxa"/>
            <w:vAlign w:val="top"/>
            <w:textDirection w:val="lrTb"/>
            <w:noWrap/>
          </w:tcPr>
          <w:p>
            <w:pPr>
              <w:pStyle w:val="903"/>
              <w:jc w:val="center"/>
              <w:spacing w:after="160" w:line="278" w:lineRule="auto"/>
              <w:widowControl/>
              <w:rPr>
                <w:color w:val="000000"/>
                <w:lang w:bidi="ar"/>
              </w:rPr>
            </w:pPr>
            <w:r>
              <w:rPr>
                <w:color w:val="000000"/>
                <w:lang w:bidi="ar"/>
              </w:rPr>
              <w:t xml:space="preserve">无锡壬子港-滨湖区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37</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672" w:type="dxa"/>
            <w:vAlign w:val="top"/>
            <w:textDirection w:val="lrTb"/>
            <w:noWrap w:val="false"/>
          </w:tcPr>
          <w:p>
            <w:pPr>
              <w:pStyle w:val="903"/>
              <w:jc w:val="center"/>
              <w:spacing w:after="160" w:line="278" w:lineRule="auto"/>
              <w:widowControl/>
              <w:rPr>
                <w:color w:val="000000"/>
                <w:lang w:bidi="ar"/>
              </w:rPr>
            </w:pPr>
            <w:r>
              <w:rPr>
                <w:color w:val="000000"/>
                <w:lang w:bidi="ar"/>
              </w:rPr>
              <w:t xml:space="preserve">无锡杨干港-滨湖区</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15</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467" w:type="dxa"/>
            <w:vAlign w:val="top"/>
            <w:textDirection w:val="lrTb"/>
            <w:noWrap/>
          </w:tcPr>
          <w:p>
            <w:pPr>
              <w:pStyle w:val="903"/>
              <w:jc w:val="center"/>
              <w:spacing w:after="160" w:line="278" w:lineRule="auto"/>
              <w:widowControl/>
              <w:rPr>
                <w:color w:val="000000"/>
                <w:lang w:bidi="ar"/>
              </w:rPr>
            </w:pPr>
            <w:r>
              <w:rPr>
                <w:color w:val="000000"/>
                <w:lang w:bidi="ar"/>
              </w:rPr>
              <w:t xml:space="preserve">无锡渔港-滨湖区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38</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无锡宜兴</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宜兴兰右港</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16</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467" w:type="dxa"/>
            <w:vAlign w:val="top"/>
            <w:textDirection w:val="lrTb"/>
            <w:noWrap/>
          </w:tcPr>
          <w:p>
            <w:pPr>
              <w:pStyle w:val="903"/>
              <w:jc w:val="center"/>
              <w:spacing w:after="160" w:line="278" w:lineRule="auto"/>
              <w:widowControl/>
              <w:rPr>
                <w:color w:val="000000"/>
                <w:lang w:bidi="ar"/>
              </w:rPr>
            </w:pPr>
            <w:r>
              <w:rPr>
                <w:color w:val="000000"/>
                <w:lang w:bidi="ar"/>
              </w:rPr>
              <w:t xml:space="preserve">无锡市灵山码头-滨湖区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39</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无锡宜兴</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无锡八房港-宜兴市</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17</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467" w:type="dxa"/>
            <w:vAlign w:val="top"/>
            <w:textDirection w:val="lrTb"/>
            <w:noWrap/>
          </w:tcPr>
          <w:p>
            <w:pPr>
              <w:pStyle w:val="903"/>
              <w:jc w:val="center"/>
              <w:spacing w:after="160" w:line="278" w:lineRule="auto"/>
              <w:widowControl/>
              <w:rPr>
                <w:color w:val="000000"/>
                <w:lang w:bidi="ar"/>
              </w:rPr>
            </w:pPr>
            <w:r>
              <w:rPr>
                <w:color w:val="000000"/>
                <w:lang w:bidi="ar"/>
              </w:rPr>
              <w:t xml:space="preserve">无锡犊山码头-滨湖区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40</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无锡宜兴</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无锡符渎港-宜兴市</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18</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467" w:type="dxa"/>
            <w:vAlign w:val="top"/>
            <w:textDirection w:val="lrTb"/>
            <w:noWrap/>
          </w:tcPr>
          <w:p>
            <w:pPr>
              <w:pStyle w:val="903"/>
              <w:jc w:val="center"/>
              <w:spacing w:after="160" w:line="278" w:lineRule="auto"/>
              <w:widowControl/>
              <w:rPr>
                <w:color w:val="000000"/>
                <w:lang w:bidi="ar"/>
              </w:rPr>
            </w:pPr>
            <w:r>
              <w:rPr>
                <w:color w:val="000000"/>
                <w:lang w:bidi="ar"/>
              </w:rPr>
              <w:t xml:space="preserve">无锡三国城码头-滨湖区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41</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无锡宜兴</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无锡林庄港-宜兴市</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19</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467" w:type="dxa"/>
            <w:vAlign w:val="top"/>
            <w:textDirection w:val="lrTb"/>
            <w:noWrap/>
          </w:tcPr>
          <w:p>
            <w:pPr>
              <w:pStyle w:val="903"/>
              <w:jc w:val="center"/>
              <w:spacing w:after="160" w:line="278" w:lineRule="auto"/>
              <w:widowControl/>
              <w:rPr>
                <w:color w:val="000000"/>
                <w:lang w:bidi="ar"/>
              </w:rPr>
            </w:pPr>
            <w:r>
              <w:rPr>
                <w:color w:val="000000"/>
                <w:lang w:bidi="ar"/>
              </w:rPr>
              <w:t xml:space="preserve">无锡月亮湾-滨湖区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42</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无锡宜兴</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无锡庙渎港-宜兴市</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20</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467" w:type="dxa"/>
            <w:vAlign w:val="top"/>
            <w:textDirection w:val="lrTb"/>
            <w:noWrap/>
          </w:tcPr>
          <w:p>
            <w:pPr>
              <w:pStyle w:val="903"/>
              <w:jc w:val="center"/>
              <w:spacing w:after="160" w:line="278" w:lineRule="auto"/>
              <w:widowControl/>
              <w:rPr>
                <w:color w:val="000000"/>
                <w:lang w:bidi="ar"/>
              </w:rPr>
            </w:pPr>
            <w:r>
              <w:rPr>
                <w:color w:val="000000"/>
                <w:lang w:bidi="ar"/>
              </w:rPr>
              <w:t xml:space="preserve">无锡省干疗养院-滨湖区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43</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无锡宜兴</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无锡乌溪港-宜兴市</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21</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467" w:type="dxa"/>
            <w:vAlign w:val="top"/>
            <w:textDirection w:val="lrTb"/>
            <w:noWrap/>
          </w:tcPr>
          <w:p>
            <w:pPr>
              <w:pStyle w:val="903"/>
              <w:jc w:val="center"/>
              <w:spacing w:after="160" w:line="278" w:lineRule="auto"/>
              <w:widowControl/>
              <w:rPr>
                <w:color w:val="000000"/>
                <w:lang w:bidi="ar"/>
              </w:rPr>
            </w:pPr>
            <w:r>
              <w:rPr>
                <w:color w:val="000000"/>
                <w:lang w:bidi="ar"/>
              </w:rPr>
              <w:t xml:space="preserve">无锡闾江口-滨湖区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44</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无锡宜兴</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无锡宜兴市师渎港-宜兴市</w:t>
            </w:r>
            <w:r/>
          </w:p>
        </w:tc>
      </w:tr>
      <w:tr>
        <w:trPr>
          <w:trHeight w:val="270"/>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22</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467" w:type="dxa"/>
            <w:vAlign w:val="top"/>
            <w:textDirection w:val="lrTb"/>
            <w:noWrap/>
          </w:tcPr>
          <w:p>
            <w:pPr>
              <w:pStyle w:val="903"/>
              <w:jc w:val="center"/>
              <w:spacing w:after="160" w:line="278" w:lineRule="auto"/>
              <w:widowControl/>
              <w:rPr>
                <w:color w:val="000000"/>
                <w:lang w:bidi="ar"/>
              </w:rPr>
            </w:pPr>
            <w:r>
              <w:rPr>
                <w:color w:val="000000"/>
                <w:lang w:bidi="ar"/>
              </w:rPr>
              <w:t xml:space="preserve">无锡庙港</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45</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无锡宜兴</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无锡茭渎港-宜兴市</w:t>
            </w:r>
            <w:r/>
          </w:p>
        </w:tc>
      </w:tr>
      <w:tr>
        <w:trPr>
          <w:trHeight w:val="883"/>
        </w:trPr>
        <w:tc>
          <w:tcPr>
            <w:tcBorders>
              <w:top w:val="none" w:color="000000" w:sz="4" w:space="0"/>
              <w:left w:val="single" w:color="000000" w:sz="4" w:space="0"/>
              <w:bottom w:val="single" w:color="000000" w:sz="4" w:space="0"/>
              <w:right w:val="single" w:color="000000" w:sz="4" w:space="0"/>
            </w:tcBorders>
            <w:tcW w:w="1278" w:type="dxa"/>
            <w:vAlign w:val="center"/>
            <w:textDirection w:val="lrTb"/>
            <w:noWrap/>
          </w:tcPr>
          <w:p>
            <w:pPr>
              <w:pStyle w:val="903"/>
              <w:jc w:val="center"/>
              <w:spacing w:after="160" w:line="278" w:lineRule="auto"/>
              <w:widowControl/>
              <w:rPr>
                <w:color w:val="000000"/>
                <w:lang w:bidi="ar"/>
              </w:rPr>
            </w:pPr>
            <w:r>
              <w:rPr>
                <w:color w:val="000000"/>
                <w:lang w:bidi="ar"/>
              </w:rPr>
              <w:t xml:space="preserve">23</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903"/>
              <w:jc w:val="center"/>
              <w:spacing w:after="160" w:line="278" w:lineRule="auto"/>
              <w:widowControl/>
              <w:rPr>
                <w:color w:val="000000"/>
                <w:lang w:bidi="ar"/>
              </w:rPr>
            </w:pPr>
            <w:r>
              <w:rPr>
                <w:color w:val="000000"/>
                <w:lang w:bidi="ar"/>
              </w:rPr>
              <w:t xml:space="preserve">无锡</w:t>
            </w:r>
            <w:r/>
          </w:p>
        </w:tc>
        <w:tc>
          <w:tcPr>
            <w:tcBorders>
              <w:top w:val="none" w:color="000000" w:sz="4" w:space="0"/>
              <w:left w:val="none" w:color="000000" w:sz="4" w:space="0"/>
              <w:bottom w:val="single" w:color="000000" w:sz="4" w:space="0"/>
              <w:right w:val="single" w:color="000000" w:sz="4" w:space="0"/>
            </w:tcBorders>
            <w:tcW w:w="1467" w:type="dxa"/>
            <w:vAlign w:val="top"/>
            <w:textDirection w:val="lrTb"/>
            <w:noWrap/>
          </w:tcPr>
          <w:p>
            <w:pPr>
              <w:pStyle w:val="903"/>
              <w:jc w:val="center"/>
              <w:spacing w:after="160" w:line="278" w:lineRule="auto"/>
              <w:widowControl/>
              <w:rPr>
                <w:color w:val="000000"/>
                <w:lang w:bidi="ar"/>
              </w:rPr>
            </w:pPr>
            <w:r>
              <w:rPr>
                <w:color w:val="000000"/>
                <w:lang w:bidi="ar"/>
              </w:rPr>
              <w:t xml:space="preserve">无锡市南泉水厂沿岸-滨湖区</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46</w:t>
            </w:r>
            <w:r/>
          </w:p>
        </w:tc>
        <w:tc>
          <w:tcPr>
            <w:tcBorders>
              <w:top w:val="none" w:color="000000" w:sz="4" w:space="0"/>
              <w:left w:val="none" w:color="000000" w:sz="4" w:space="0"/>
              <w:bottom w:val="single" w:color="000000" w:sz="4" w:space="0"/>
              <w:right w:val="single" w:color="000000" w:sz="4" w:space="0"/>
            </w:tcBorders>
            <w:tcW w:w="1197"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无锡宜兴</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val="false"/>
          </w:tcPr>
          <w:p>
            <w:pPr>
              <w:pStyle w:val="903"/>
              <w:jc w:val="center"/>
              <w:spacing w:after="160" w:line="278" w:lineRule="auto"/>
              <w:widowControl/>
              <w:rPr>
                <w:color w:val="000000"/>
                <w:lang w:bidi="ar"/>
              </w:rPr>
            </w:pPr>
            <w:r>
              <w:rPr>
                <w:color w:val="000000"/>
                <w:lang w:bidi="ar"/>
              </w:rPr>
              <w:t xml:space="preserve">无锡符渎港-西部湖区湖面-宜兴市</w:t>
            </w:r>
            <w:r/>
          </w:p>
        </w:tc>
      </w:tr>
    </w:tbl>
    <w:p>
      <w:pPr>
        <w:pStyle w:val="903"/>
        <w:rPr>
          <w:color w:val="000000"/>
        </w:rPr>
      </w:pPr>
      <w:r>
        <w:rPr>
          <w:color w:val="000000"/>
        </w:rPr>
      </w:r>
      <w:r/>
    </w:p>
    <w:p>
      <w:pPr>
        <w:pStyle w:val="903"/>
        <w:ind w:firstLine="480"/>
        <w:rPr>
          <w:color w:val="000000"/>
          <w:sz w:val="24"/>
        </w:rPr>
      </w:pPr>
      <w:r>
        <w:rPr>
          <w:color w:val="000000"/>
          <w:sz w:val="24"/>
        </w:rPr>
        <w:t xml:space="preserve">视频监控平台能力：</w:t>
      </w:r>
      <w:r/>
    </w:p>
    <w:p>
      <w:pPr>
        <w:pStyle w:val="903"/>
        <w:ind w:firstLine="480"/>
        <w:rPr>
          <w:color w:val="000000"/>
          <w:sz w:val="24"/>
        </w:rPr>
      </w:pPr>
      <w:r>
        <w:rPr>
          <w:color w:val="000000"/>
          <w:sz w:val="24"/>
        </w:rPr>
        <w:t xml:space="preserve">1、</w:t>
      </w:r>
      <w:r>
        <w:rPr>
          <w:rFonts w:hint="eastAsia" w:ascii="宋体" w:hAnsi="宋体" w:cs="宋体"/>
          <w:color w:val="000000"/>
          <w:lang w:val="zh-CN"/>
        </w:rPr>
        <w:t xml:space="preserve">★</w:t>
      </w:r>
      <w:r>
        <w:rPr>
          <w:color w:val="000000"/>
          <w:sz w:val="24"/>
        </w:rPr>
        <w:t xml:space="preserve">项目所提供的视频平台需具备国产化适配能力。（提供相关证明材料）</w:t>
      </w:r>
      <w:r/>
    </w:p>
    <w:p>
      <w:pPr>
        <w:pStyle w:val="903"/>
        <w:ind w:firstLine="480"/>
        <w:rPr>
          <w:color w:val="000000"/>
          <w:sz w:val="24"/>
        </w:rPr>
      </w:pPr>
      <w:r>
        <w:rPr>
          <w:color w:val="000000"/>
          <w:sz w:val="24"/>
        </w:rPr>
        <w:t xml:space="preserve">2、</w:t>
      </w:r>
      <w:r>
        <w:rPr>
          <w:rFonts w:hint="eastAsia" w:ascii="宋体" w:hAnsi="宋体" w:cs="宋体"/>
          <w:color w:val="000000"/>
          <w:lang w:val="zh-CN"/>
        </w:rPr>
        <w:t xml:space="preserve">★</w:t>
      </w:r>
      <w:r>
        <w:rPr>
          <w:color w:val="000000"/>
          <w:sz w:val="24"/>
        </w:rPr>
        <w:t xml:space="preserve">视频平台需满足网络安全等级保护三级标准，并部署于A级数据中心机房。（提供备案证明及检测报告）</w:t>
      </w:r>
      <w:r/>
    </w:p>
    <w:p>
      <w:pPr>
        <w:pStyle w:val="903"/>
        <w:ind w:firstLine="480"/>
        <w:rPr>
          <w:color w:val="000000"/>
          <w:sz w:val="24"/>
        </w:rPr>
      </w:pPr>
      <w:r>
        <w:rPr>
          <w:color w:val="000000"/>
          <w:sz w:val="24"/>
        </w:rPr>
        <w:t xml:space="preserve">3、平台需支持以下功能：</w:t>
      </w:r>
      <w:r/>
    </w:p>
    <w:p>
      <w:pPr>
        <w:pStyle w:val="903"/>
        <w:ind w:firstLine="420"/>
        <w:rPr>
          <w:color w:val="000000"/>
          <w:sz w:val="24"/>
        </w:rPr>
      </w:pPr>
      <w:r>
        <w:rPr>
          <w:rFonts w:hint="eastAsia" w:ascii="宋体" w:hAnsi="宋体" w:cs="宋体"/>
          <w:color w:val="000000"/>
          <w:lang w:val="zh-CN"/>
        </w:rPr>
        <w:t xml:space="preserve">★</w:t>
      </w:r>
      <w:r>
        <w:rPr>
          <w:color w:val="000000"/>
          <w:sz w:val="24"/>
        </w:rPr>
        <w:t xml:space="preserve">实时视频：视频实时预览，支持流畅、高清码流切换，支持电子放大；支持多窗口模式；支持手动轮巡；支持展示画面截图；支持声音开关配置；支持云台控制权限配置；支持视频参数权限配置；支持浏览器视频预览；视频画面截图保存，支持分享。（提供相关截图证明材料）</w:t>
      </w:r>
      <w:r/>
    </w:p>
    <w:p>
      <w:pPr>
        <w:pStyle w:val="903"/>
        <w:ind w:firstLine="480"/>
        <w:rPr>
          <w:color w:val="000000"/>
          <w:sz w:val="24"/>
        </w:rPr>
      </w:pPr>
      <w:r>
        <w:rPr>
          <w:color w:val="000000"/>
          <w:sz w:val="24"/>
        </w:rPr>
        <w:t xml:space="preserve">4、</w:t>
      </w:r>
      <w:r>
        <w:rPr>
          <w:rFonts w:hint="eastAsia" w:ascii="宋体" w:hAnsi="宋体" w:cs="宋体"/>
          <w:color w:val="000000"/>
          <w:lang w:val="zh-CN"/>
        </w:rPr>
        <w:t xml:space="preserve">★</w:t>
      </w:r>
      <w:r>
        <w:rPr>
          <w:color w:val="000000"/>
          <w:sz w:val="24"/>
        </w:rPr>
        <w:t xml:space="preserve">设备管理：具备对摄像头进行统一建档与管理能力，提供设备信息查看、设备标签管理等核心功能，保证设备信息“完整、唯一、清晰”。</w:t>
      </w:r>
      <w:r/>
    </w:p>
    <w:p>
      <w:pPr>
        <w:pStyle w:val="903"/>
        <w:ind w:firstLine="480"/>
        <w:rPr>
          <w:color w:val="000000"/>
          <w:sz w:val="24"/>
        </w:rPr>
      </w:pPr>
      <w:r>
        <w:rPr>
          <w:color w:val="000000"/>
          <w:sz w:val="24"/>
        </w:rPr>
        <w:t xml:space="preserve">5、</w:t>
      </w:r>
      <w:r>
        <w:rPr>
          <w:rFonts w:hint="eastAsia" w:ascii="宋体" w:hAnsi="宋体" w:cs="宋体"/>
          <w:color w:val="000000"/>
          <w:lang w:val="zh-CN"/>
        </w:rPr>
        <w:t xml:space="preserve">★</w:t>
      </w:r>
      <w:r>
        <w:rPr>
          <w:color w:val="000000"/>
          <w:sz w:val="24"/>
        </w:rPr>
        <w:t xml:space="preserve">视频质量检测：支持针对摄像头画质进行AI检测，支持黑屏、视频遮挡、场景变更等智能检测算法。</w:t>
      </w:r>
      <w:r/>
    </w:p>
    <w:p>
      <w:pPr>
        <w:pStyle w:val="903"/>
        <w:ind w:firstLine="480"/>
        <w:rPr>
          <w:color w:val="000000"/>
          <w:sz w:val="24"/>
        </w:rPr>
      </w:pPr>
      <w:r>
        <w:rPr>
          <w:color w:val="000000"/>
          <w:sz w:val="24"/>
        </w:rPr>
        <w:t xml:space="preserve">6、</w:t>
      </w:r>
      <w:r>
        <w:rPr>
          <w:rFonts w:hint="eastAsia" w:ascii="宋体" w:hAnsi="宋体" w:cs="宋体"/>
          <w:color w:val="000000"/>
          <w:lang w:val="zh-CN"/>
        </w:rPr>
        <w:t xml:space="preserve">★</w:t>
      </w:r>
      <w:r>
        <w:rPr>
          <w:color w:val="000000"/>
          <w:sz w:val="24"/>
        </w:rPr>
        <w:t xml:space="preserve">云存检测：支持针对摄像头云存情况进行检测，保证视频资源的完整性。</w:t>
      </w:r>
      <w:r/>
    </w:p>
    <w:p>
      <w:pPr>
        <w:pStyle w:val="903"/>
        <w:ind w:firstLine="480"/>
        <w:rPr>
          <w:color w:val="000000"/>
          <w:sz w:val="24"/>
        </w:rPr>
      </w:pPr>
      <w:r>
        <w:rPr>
          <w:color w:val="000000"/>
          <w:sz w:val="24"/>
        </w:rPr>
        <w:t xml:space="preserve">7、</w:t>
      </w:r>
      <w:r>
        <w:rPr>
          <w:rFonts w:hint="eastAsia" w:ascii="宋体" w:hAnsi="宋体" w:cs="宋体"/>
          <w:color w:val="000000"/>
          <w:lang w:val="zh-CN"/>
        </w:rPr>
        <w:t xml:space="preserve">★</w:t>
      </w:r>
      <w:r>
        <w:rPr>
          <w:color w:val="000000"/>
          <w:sz w:val="24"/>
        </w:rPr>
        <w:t xml:space="preserve">网络检测：支持针对摄像头所在网络链路进行诊断，检查链路上各网元异常情况。</w:t>
      </w:r>
      <w:r/>
    </w:p>
    <w:p>
      <w:pPr>
        <w:pStyle w:val="903"/>
        <w:ind w:firstLine="480"/>
        <w:rPr>
          <w:color w:val="000000"/>
          <w:sz w:val="24"/>
        </w:rPr>
      </w:pPr>
      <w:r>
        <w:rPr>
          <w:color w:val="000000"/>
          <w:sz w:val="24"/>
        </w:rPr>
        <w:t xml:space="preserve">8、</w:t>
      </w:r>
      <w:r>
        <w:rPr>
          <w:rFonts w:hint="eastAsia" w:ascii="宋体" w:hAnsi="宋体" w:cs="宋体"/>
          <w:color w:val="000000"/>
          <w:lang w:val="zh-CN"/>
        </w:rPr>
        <w:t xml:space="preserve">★</w:t>
      </w:r>
      <w:r>
        <w:rPr>
          <w:color w:val="000000"/>
          <w:sz w:val="24"/>
        </w:rPr>
        <w:t xml:space="preserve">视频水印：支持开启视频水印，支持在预览和回放画面叠加水印。</w:t>
      </w:r>
      <w:r/>
    </w:p>
    <w:p>
      <w:pPr>
        <w:pStyle w:val="907"/>
        <w:numPr>
          <w:ilvl w:val="0"/>
          <w:numId w:val="10"/>
        </w:numPr>
        <w:spacing w:before="0" w:after="0" w:line="360" w:lineRule="auto"/>
        <w:rPr>
          <w:rFonts w:ascii="Times New Roman" w:hAnsi="Times New Roman"/>
          <w:color w:val="000000"/>
        </w:rPr>
      </w:pPr>
      <w:r>
        <w:rPr>
          <w:rFonts w:ascii="Times New Roman" w:hAnsi="Times New Roman"/>
          <w:color w:val="000000"/>
        </w:rPr>
        <w:t xml:space="preserve">互联网专线</w:t>
      </w:r>
      <w:r/>
    </w:p>
    <w:tbl>
      <w:tblPr>
        <w:tblW w:w="8522"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3346"/>
        <w:gridCol w:w="3357"/>
        <w:gridCol w:w="956"/>
      </w:tblGrid>
      <w:tr>
        <w:trPr>
          <w:tblHeader/>
        </w:trPr>
        <w:tc>
          <w:tcPr>
            <w:tcW w:w="863" w:type="dxa"/>
            <w:vAlign w:val="center"/>
            <w:textDirection w:val="lrTb"/>
            <w:noWrap w:val="false"/>
          </w:tcPr>
          <w:p>
            <w:pPr>
              <w:pStyle w:val="1043"/>
              <w:ind w:firstLine="0"/>
              <w:jc w:val="center"/>
              <w:rPr>
                <w:b/>
                <w:bCs/>
                <w:color w:val="000000"/>
                <w:sz w:val="21"/>
                <w:szCs w:val="21"/>
              </w:rPr>
            </w:pPr>
            <w:r>
              <w:rPr>
                <w:b/>
                <w:bCs/>
                <w:color w:val="000000"/>
                <w:sz w:val="21"/>
                <w:szCs w:val="21"/>
              </w:rPr>
              <w:t xml:space="preserve">序号</w:t>
            </w:r>
            <w:r/>
          </w:p>
        </w:tc>
        <w:tc>
          <w:tcPr>
            <w:tcW w:w="3346" w:type="dxa"/>
            <w:vAlign w:val="center"/>
            <w:textDirection w:val="lrTb"/>
            <w:noWrap w:val="false"/>
          </w:tcPr>
          <w:p>
            <w:pPr>
              <w:pStyle w:val="1043"/>
              <w:ind w:firstLine="0"/>
              <w:jc w:val="center"/>
              <w:rPr>
                <w:b/>
                <w:bCs/>
                <w:color w:val="000000"/>
                <w:sz w:val="21"/>
                <w:szCs w:val="21"/>
              </w:rPr>
            </w:pPr>
            <w:r>
              <w:rPr>
                <w:b/>
                <w:bCs/>
                <w:color w:val="000000"/>
                <w:sz w:val="21"/>
                <w:szCs w:val="21"/>
              </w:rPr>
              <w:t xml:space="preserve">单位</w:t>
            </w:r>
            <w:r/>
          </w:p>
        </w:tc>
        <w:tc>
          <w:tcPr>
            <w:tcW w:w="3357" w:type="dxa"/>
            <w:vAlign w:val="center"/>
            <w:textDirection w:val="lrTb"/>
            <w:noWrap w:val="false"/>
          </w:tcPr>
          <w:p>
            <w:pPr>
              <w:pStyle w:val="1043"/>
              <w:ind w:firstLine="0"/>
              <w:jc w:val="center"/>
              <w:rPr>
                <w:b/>
                <w:bCs/>
                <w:color w:val="000000"/>
                <w:sz w:val="21"/>
                <w:szCs w:val="21"/>
              </w:rPr>
            </w:pPr>
            <w:r>
              <w:rPr>
                <w:b/>
                <w:bCs/>
                <w:color w:val="000000"/>
                <w:sz w:val="21"/>
                <w:szCs w:val="21"/>
              </w:rPr>
              <w:t xml:space="preserve">地址</w:t>
            </w:r>
            <w:r/>
          </w:p>
        </w:tc>
        <w:tc>
          <w:tcPr>
            <w:tcW w:w="956" w:type="dxa"/>
            <w:vAlign w:val="center"/>
            <w:textDirection w:val="lrTb"/>
            <w:noWrap w:val="false"/>
          </w:tcPr>
          <w:p>
            <w:pPr>
              <w:pStyle w:val="1043"/>
              <w:ind w:firstLine="0"/>
              <w:jc w:val="center"/>
              <w:rPr>
                <w:b/>
                <w:bCs/>
                <w:color w:val="000000"/>
                <w:sz w:val="21"/>
                <w:szCs w:val="21"/>
              </w:rPr>
            </w:pPr>
            <w:r>
              <w:rPr>
                <w:b/>
                <w:bCs/>
                <w:color w:val="000000"/>
                <w:sz w:val="21"/>
                <w:szCs w:val="21"/>
              </w:rPr>
              <w:t xml:space="preserve">速率</w:t>
            </w:r>
            <w:r/>
          </w:p>
        </w:tc>
      </w:tr>
      <w:tr>
        <w:trPr/>
        <w:tc>
          <w:tcPr>
            <w:tcW w:w="863" w:type="dxa"/>
            <w:vAlign w:val="center"/>
            <w:textDirection w:val="lrTb"/>
            <w:noWrap w:val="false"/>
          </w:tcPr>
          <w:p>
            <w:pPr>
              <w:pStyle w:val="1043"/>
              <w:ind w:firstLine="0"/>
              <w:jc w:val="center"/>
              <w:rPr>
                <w:color w:val="000000"/>
                <w:sz w:val="21"/>
                <w:szCs w:val="21"/>
              </w:rPr>
            </w:pPr>
            <w:r>
              <w:rPr>
                <w:color w:val="000000"/>
                <w:sz w:val="21"/>
                <w:szCs w:val="21"/>
              </w:rPr>
              <w:t xml:space="preserve">1</w:t>
            </w:r>
            <w:r/>
          </w:p>
        </w:tc>
        <w:tc>
          <w:tcPr>
            <w:tcW w:w="3346" w:type="dxa"/>
            <w:vAlign w:val="center"/>
            <w:textDirection w:val="lrTb"/>
            <w:noWrap w:val="false"/>
          </w:tcPr>
          <w:p>
            <w:pPr>
              <w:pStyle w:val="1043"/>
              <w:ind w:firstLine="0"/>
              <w:jc w:val="center"/>
              <w:rPr>
                <w:color w:val="000000"/>
                <w:sz w:val="21"/>
                <w:szCs w:val="21"/>
              </w:rPr>
            </w:pPr>
            <w:r>
              <w:rPr>
                <w:color w:val="000000"/>
                <w:sz w:val="21"/>
                <w:szCs w:val="21"/>
              </w:rPr>
              <w:t xml:space="preserve">江苏省生态环境监控中心（业务互联网）</w:t>
            </w:r>
            <w:r/>
          </w:p>
        </w:tc>
        <w:tc>
          <w:tcPr>
            <w:tcW w:w="3357" w:type="dxa"/>
            <w:vAlign w:val="center"/>
            <w:textDirection w:val="lrTb"/>
            <w:noWrap w:val="false"/>
          </w:tcPr>
          <w:p>
            <w:pPr>
              <w:pStyle w:val="1043"/>
              <w:ind w:firstLine="0"/>
              <w:jc w:val="left"/>
              <w:rPr>
                <w:color w:val="000000"/>
                <w:sz w:val="21"/>
                <w:szCs w:val="21"/>
              </w:rPr>
            </w:pPr>
            <w:r>
              <w:rPr>
                <w:color w:val="000000"/>
                <w:sz w:val="21"/>
                <w:szCs w:val="21"/>
              </w:rPr>
              <w:t xml:space="preserve">南京市鼓楼区江东北路176号</w:t>
            </w:r>
            <w:r/>
          </w:p>
        </w:tc>
        <w:tc>
          <w:tcPr>
            <w:tcW w:w="956" w:type="dxa"/>
            <w:vAlign w:val="center"/>
            <w:textDirection w:val="lrTb"/>
            <w:noWrap w:val="false"/>
          </w:tcPr>
          <w:p>
            <w:pPr>
              <w:pStyle w:val="1043"/>
              <w:ind w:firstLine="0"/>
              <w:jc w:val="left"/>
              <w:rPr>
                <w:color w:val="000000"/>
                <w:sz w:val="21"/>
                <w:szCs w:val="21"/>
              </w:rPr>
            </w:pPr>
            <w:r>
              <w:rPr>
                <w:color w:val="000000"/>
                <w:sz w:val="21"/>
                <w:szCs w:val="21"/>
              </w:rPr>
              <w:t xml:space="preserve">500M</w:t>
            </w:r>
            <w:r/>
          </w:p>
        </w:tc>
      </w:tr>
      <w:tr>
        <w:trPr/>
        <w:tc>
          <w:tcPr>
            <w:tcW w:w="863" w:type="dxa"/>
            <w:vAlign w:val="center"/>
            <w:textDirection w:val="lrTb"/>
            <w:noWrap w:val="false"/>
          </w:tcPr>
          <w:p>
            <w:pPr>
              <w:pStyle w:val="1043"/>
              <w:ind w:firstLine="0"/>
              <w:jc w:val="center"/>
              <w:rPr>
                <w:color w:val="000000"/>
                <w:sz w:val="21"/>
                <w:szCs w:val="21"/>
              </w:rPr>
            </w:pPr>
            <w:r>
              <w:rPr>
                <w:color w:val="000000"/>
                <w:sz w:val="21"/>
                <w:szCs w:val="21"/>
              </w:rPr>
              <w:t xml:space="preserve">2</w:t>
            </w:r>
            <w:r/>
          </w:p>
        </w:tc>
        <w:tc>
          <w:tcPr>
            <w:tcW w:w="3346" w:type="dxa"/>
            <w:vAlign w:val="center"/>
            <w:textDirection w:val="lrTb"/>
            <w:noWrap w:val="false"/>
          </w:tcPr>
          <w:p>
            <w:pPr>
              <w:pStyle w:val="1043"/>
              <w:ind w:firstLine="0"/>
              <w:jc w:val="center"/>
              <w:rPr>
                <w:color w:val="000000"/>
                <w:sz w:val="21"/>
                <w:szCs w:val="21"/>
              </w:rPr>
            </w:pPr>
            <w:r>
              <w:rPr>
                <w:color w:val="000000"/>
                <w:sz w:val="21"/>
                <w:szCs w:val="21"/>
              </w:rPr>
              <w:t xml:space="preserve">江苏省生态环境厅（办公互联网）</w:t>
            </w:r>
            <w:r/>
          </w:p>
        </w:tc>
        <w:tc>
          <w:tcPr>
            <w:tcW w:w="3357" w:type="dxa"/>
            <w:vAlign w:val="center"/>
            <w:textDirection w:val="lrTb"/>
            <w:noWrap w:val="false"/>
          </w:tcPr>
          <w:p>
            <w:pPr>
              <w:pStyle w:val="1043"/>
              <w:ind w:firstLine="0"/>
              <w:jc w:val="left"/>
              <w:rPr>
                <w:color w:val="000000"/>
                <w:sz w:val="21"/>
                <w:szCs w:val="21"/>
              </w:rPr>
            </w:pPr>
            <w:r>
              <w:rPr>
                <w:color w:val="000000"/>
                <w:sz w:val="21"/>
                <w:szCs w:val="21"/>
              </w:rPr>
              <w:t xml:space="preserve">南京市鼓楼区江东北路176号</w:t>
            </w:r>
            <w:r/>
          </w:p>
        </w:tc>
        <w:tc>
          <w:tcPr>
            <w:tcW w:w="956" w:type="dxa"/>
            <w:vAlign w:val="center"/>
            <w:textDirection w:val="lrTb"/>
            <w:noWrap w:val="false"/>
          </w:tcPr>
          <w:p>
            <w:pPr>
              <w:pStyle w:val="1043"/>
              <w:ind w:firstLine="0"/>
              <w:jc w:val="left"/>
              <w:rPr>
                <w:color w:val="000000"/>
                <w:sz w:val="21"/>
                <w:szCs w:val="21"/>
              </w:rPr>
            </w:pPr>
            <w:r>
              <w:rPr>
                <w:color w:val="000000"/>
                <w:sz w:val="21"/>
                <w:szCs w:val="21"/>
              </w:rPr>
              <w:t xml:space="preserve">400M</w:t>
            </w:r>
            <w:r/>
          </w:p>
        </w:tc>
      </w:tr>
      <w:tr>
        <w:trPr/>
        <w:tc>
          <w:tcPr>
            <w:tcW w:w="863" w:type="dxa"/>
            <w:vAlign w:val="center"/>
            <w:textDirection w:val="lrTb"/>
            <w:noWrap w:val="false"/>
          </w:tcPr>
          <w:p>
            <w:pPr>
              <w:pStyle w:val="1043"/>
              <w:ind w:firstLine="0"/>
              <w:jc w:val="center"/>
              <w:rPr>
                <w:color w:val="000000"/>
                <w:sz w:val="21"/>
                <w:szCs w:val="21"/>
              </w:rPr>
            </w:pPr>
            <w:r>
              <w:rPr>
                <w:color w:val="000000"/>
                <w:sz w:val="21"/>
                <w:szCs w:val="21"/>
              </w:rPr>
              <w:t xml:space="preserve">3</w:t>
            </w:r>
            <w:r/>
          </w:p>
        </w:tc>
        <w:tc>
          <w:tcPr>
            <w:tcW w:w="3346" w:type="dxa"/>
            <w:vAlign w:val="center"/>
            <w:textDirection w:val="lrTb"/>
            <w:noWrap w:val="false"/>
          </w:tcPr>
          <w:p>
            <w:pPr>
              <w:pStyle w:val="1043"/>
              <w:ind w:firstLine="0"/>
              <w:jc w:val="center"/>
              <w:rPr>
                <w:color w:val="000000"/>
                <w:sz w:val="21"/>
                <w:szCs w:val="21"/>
              </w:rPr>
            </w:pPr>
            <w:r>
              <w:rPr>
                <w:color w:val="000000"/>
                <w:sz w:val="21"/>
                <w:szCs w:val="21"/>
              </w:rPr>
              <w:t xml:space="preserve">江苏省生态环境监控中心（办公互联网）</w:t>
            </w:r>
            <w:r/>
          </w:p>
        </w:tc>
        <w:tc>
          <w:tcPr>
            <w:tcW w:w="3357" w:type="dxa"/>
            <w:vAlign w:val="center"/>
            <w:textDirection w:val="lrTb"/>
            <w:noWrap w:val="false"/>
          </w:tcPr>
          <w:p>
            <w:pPr>
              <w:pStyle w:val="1043"/>
              <w:ind w:firstLine="0"/>
              <w:jc w:val="left"/>
              <w:rPr>
                <w:color w:val="000000"/>
                <w:sz w:val="21"/>
                <w:szCs w:val="21"/>
              </w:rPr>
            </w:pPr>
            <w:r>
              <w:rPr>
                <w:color w:val="000000"/>
                <w:sz w:val="21"/>
                <w:szCs w:val="21"/>
              </w:rPr>
              <w:t xml:space="preserve">南京市鼓楼区江东北路176号</w:t>
            </w:r>
            <w:r/>
          </w:p>
        </w:tc>
        <w:tc>
          <w:tcPr>
            <w:tcW w:w="956" w:type="dxa"/>
            <w:vAlign w:val="center"/>
            <w:textDirection w:val="lrTb"/>
            <w:noWrap w:val="false"/>
          </w:tcPr>
          <w:p>
            <w:pPr>
              <w:pStyle w:val="1043"/>
              <w:ind w:firstLine="0"/>
              <w:jc w:val="left"/>
              <w:rPr>
                <w:color w:val="000000"/>
                <w:sz w:val="21"/>
                <w:szCs w:val="21"/>
              </w:rPr>
            </w:pPr>
            <w:r>
              <w:rPr>
                <w:color w:val="000000"/>
                <w:sz w:val="21"/>
                <w:szCs w:val="21"/>
              </w:rPr>
              <w:t xml:space="preserve">400M</w:t>
            </w:r>
            <w:r/>
          </w:p>
        </w:tc>
      </w:tr>
      <w:tr>
        <w:trPr/>
        <w:tc>
          <w:tcPr>
            <w:tcW w:w="863" w:type="dxa"/>
            <w:vAlign w:val="center"/>
            <w:textDirection w:val="lrTb"/>
            <w:noWrap w:val="false"/>
          </w:tcPr>
          <w:p>
            <w:pPr>
              <w:pStyle w:val="1043"/>
              <w:ind w:firstLine="0"/>
              <w:jc w:val="center"/>
              <w:rPr>
                <w:color w:val="000000"/>
                <w:sz w:val="21"/>
                <w:szCs w:val="21"/>
              </w:rPr>
            </w:pPr>
            <w:r>
              <w:rPr>
                <w:color w:val="000000"/>
                <w:sz w:val="21"/>
                <w:szCs w:val="21"/>
              </w:rPr>
              <w:t xml:space="preserve">4</w:t>
            </w:r>
            <w:r/>
          </w:p>
        </w:tc>
        <w:tc>
          <w:tcPr>
            <w:tcW w:w="3346" w:type="dxa"/>
            <w:vAlign w:val="center"/>
            <w:textDirection w:val="lrTb"/>
            <w:noWrap w:val="false"/>
          </w:tcPr>
          <w:p>
            <w:pPr>
              <w:pStyle w:val="1043"/>
              <w:ind w:firstLine="0"/>
              <w:jc w:val="center"/>
              <w:rPr>
                <w:color w:val="000000"/>
                <w:sz w:val="21"/>
                <w:szCs w:val="21"/>
              </w:rPr>
            </w:pPr>
            <w:r>
              <w:rPr>
                <w:color w:val="000000"/>
                <w:sz w:val="21"/>
                <w:szCs w:val="21"/>
              </w:rPr>
              <w:t xml:space="preserve">江苏省生态环境厅（业务互联网）</w:t>
            </w:r>
            <w:r/>
          </w:p>
        </w:tc>
        <w:tc>
          <w:tcPr>
            <w:tcW w:w="3357" w:type="dxa"/>
            <w:vAlign w:val="center"/>
            <w:textDirection w:val="lrTb"/>
            <w:noWrap w:val="false"/>
          </w:tcPr>
          <w:p>
            <w:pPr>
              <w:pStyle w:val="1043"/>
              <w:ind w:firstLine="0"/>
              <w:jc w:val="left"/>
              <w:rPr>
                <w:color w:val="000000" w:themeColor="text1"/>
                <w:sz w:val="21"/>
                <w:szCs w:val="21"/>
              </w:rPr>
            </w:pPr>
            <w:r>
              <w:rPr>
                <w:color w:val="000000"/>
                <w:sz w:val="21"/>
                <w:szCs w:val="21"/>
              </w:rPr>
              <w:t xml:space="preserve">南京市鼓楼区江东</w:t>
            </w:r>
            <w:r>
              <w:rPr>
                <w:color w:val="000000" w:themeColor="text1"/>
                <w:sz w:val="21"/>
                <w:szCs w:val="21"/>
              </w:rPr>
              <w:t xml:space="preserve">北路</w:t>
            </w:r>
            <w:r>
              <w:rPr>
                <w:rFonts w:ascii="Times New Roman" w:hAnsi="Times New Roman" w:eastAsia="Times New Roman" w:cs="Times New Roman"/>
                <w:color w:val="000000" w:themeColor="text1"/>
                <w:sz w:val="21"/>
                <w:u w:val="single"/>
              </w:rPr>
              <w:t xml:space="preserve">176</w:t>
            </w:r>
            <w:r>
              <w:rPr>
                <w:rFonts w:ascii="SimSun" w:hAnsi="SimSun" w:eastAsia="SimSun" w:cs="SimSun"/>
                <w:color w:val="000000" w:themeColor="text1"/>
                <w:sz w:val="21"/>
                <w:u w:val="single"/>
              </w:rPr>
              <w:t xml:space="preserve">号</w:t>
            </w:r>
            <w:r>
              <w:rPr>
                <w:color w:val="000000" w:themeColor="text1"/>
              </w:rPr>
            </w:r>
            <w:r/>
          </w:p>
        </w:tc>
        <w:tc>
          <w:tcPr>
            <w:tcW w:w="956" w:type="dxa"/>
            <w:vAlign w:val="center"/>
            <w:textDirection w:val="lrTb"/>
            <w:noWrap w:val="false"/>
          </w:tcPr>
          <w:p>
            <w:pPr>
              <w:pStyle w:val="1043"/>
              <w:ind w:firstLine="0"/>
              <w:jc w:val="left"/>
              <w:rPr>
                <w:color w:val="000000"/>
                <w:sz w:val="21"/>
                <w:szCs w:val="21"/>
              </w:rPr>
            </w:pPr>
            <w:r>
              <w:rPr>
                <w:color w:val="000000"/>
                <w:sz w:val="21"/>
                <w:szCs w:val="21"/>
              </w:rPr>
              <w:t xml:space="preserve">100M</w:t>
            </w:r>
            <w:r/>
          </w:p>
        </w:tc>
      </w:tr>
      <w:tr>
        <w:trPr/>
        <w:tc>
          <w:tcPr>
            <w:tcW w:w="863" w:type="dxa"/>
            <w:vAlign w:val="center"/>
            <w:textDirection w:val="lrTb"/>
            <w:noWrap w:val="false"/>
          </w:tcPr>
          <w:p>
            <w:pPr>
              <w:pStyle w:val="1043"/>
              <w:ind w:firstLine="0"/>
              <w:jc w:val="center"/>
              <w:rPr>
                <w:color w:val="000000"/>
                <w:sz w:val="21"/>
                <w:szCs w:val="21"/>
              </w:rPr>
            </w:pPr>
            <w:r>
              <w:rPr>
                <w:color w:val="000000"/>
                <w:sz w:val="21"/>
                <w:szCs w:val="21"/>
              </w:rPr>
              <w:t xml:space="preserve">5</w:t>
            </w:r>
            <w:r/>
          </w:p>
        </w:tc>
        <w:tc>
          <w:tcPr>
            <w:tcW w:w="3346" w:type="dxa"/>
            <w:vAlign w:val="center"/>
            <w:textDirection w:val="lrTb"/>
            <w:noWrap w:val="false"/>
          </w:tcPr>
          <w:p>
            <w:pPr>
              <w:pStyle w:val="1043"/>
              <w:ind w:firstLine="0"/>
              <w:jc w:val="center"/>
              <w:rPr>
                <w:color w:val="000000"/>
                <w:sz w:val="21"/>
                <w:szCs w:val="21"/>
              </w:rPr>
            </w:pPr>
            <w:r>
              <w:rPr>
                <w:color w:val="000000"/>
                <w:sz w:val="21"/>
                <w:szCs w:val="21"/>
              </w:rPr>
              <w:t xml:space="preserve">江苏省核与辐射安全监督管理中心（办公专线）</w:t>
            </w:r>
            <w:r/>
          </w:p>
        </w:tc>
        <w:tc>
          <w:tcPr>
            <w:tcW w:w="3357" w:type="dxa"/>
            <w:vAlign w:val="center"/>
            <w:textDirection w:val="lrTb"/>
            <w:noWrap w:val="false"/>
          </w:tcPr>
          <w:p>
            <w:pPr>
              <w:pStyle w:val="1043"/>
              <w:ind w:firstLine="0"/>
              <w:jc w:val="left"/>
              <w:rPr>
                <w:color w:val="000000"/>
                <w:sz w:val="21"/>
                <w:szCs w:val="21"/>
              </w:rPr>
            </w:pPr>
            <w:r>
              <w:rPr>
                <w:color w:val="000000"/>
                <w:sz w:val="21"/>
                <w:szCs w:val="21"/>
                <w:lang w:bidi="ar"/>
              </w:rPr>
              <w:t xml:space="preserve">南京市建邺区云龙山路75号辐射环保生产综合楼</w:t>
            </w:r>
            <w:r>
              <w:rPr>
                <w:color w:val="000000"/>
                <w:sz w:val="21"/>
                <w:szCs w:val="21"/>
              </w:rPr>
            </w:r>
            <w:r/>
          </w:p>
        </w:tc>
        <w:tc>
          <w:tcPr>
            <w:tcW w:w="956" w:type="dxa"/>
            <w:vAlign w:val="center"/>
            <w:textDirection w:val="lrTb"/>
            <w:noWrap w:val="false"/>
          </w:tcPr>
          <w:p>
            <w:pPr>
              <w:pStyle w:val="1043"/>
              <w:ind w:firstLine="0"/>
              <w:jc w:val="left"/>
              <w:rPr>
                <w:color w:val="000000"/>
                <w:sz w:val="21"/>
                <w:szCs w:val="21"/>
              </w:rPr>
            </w:pPr>
            <w:r>
              <w:rPr>
                <w:color w:val="000000"/>
                <w:sz w:val="21"/>
                <w:szCs w:val="21"/>
              </w:rPr>
              <w:t xml:space="preserve">300M</w:t>
            </w:r>
            <w:r/>
          </w:p>
        </w:tc>
      </w:tr>
      <w:tr>
        <w:trPr/>
        <w:tc>
          <w:tcPr>
            <w:tcW w:w="863" w:type="dxa"/>
            <w:vAlign w:val="center"/>
            <w:textDirection w:val="lrTb"/>
            <w:noWrap w:val="false"/>
          </w:tcPr>
          <w:p>
            <w:pPr>
              <w:pStyle w:val="1043"/>
              <w:ind w:firstLine="0"/>
              <w:jc w:val="center"/>
              <w:rPr>
                <w:color w:val="000000"/>
                <w:sz w:val="21"/>
                <w:szCs w:val="21"/>
              </w:rPr>
            </w:pPr>
            <w:r>
              <w:rPr>
                <w:color w:val="000000"/>
                <w:sz w:val="21"/>
                <w:szCs w:val="21"/>
              </w:rPr>
              <w:t xml:space="preserve">6</w:t>
            </w:r>
            <w:r/>
          </w:p>
        </w:tc>
        <w:tc>
          <w:tcPr>
            <w:tcW w:w="3346" w:type="dxa"/>
            <w:vAlign w:val="center"/>
            <w:textDirection w:val="lrTb"/>
            <w:noWrap w:val="false"/>
          </w:tcPr>
          <w:p>
            <w:pPr>
              <w:pStyle w:val="1043"/>
              <w:ind w:firstLine="0"/>
              <w:jc w:val="center"/>
              <w:rPr>
                <w:color w:val="000000"/>
                <w:sz w:val="21"/>
                <w:szCs w:val="21"/>
              </w:rPr>
            </w:pPr>
            <w:r>
              <w:rPr>
                <w:color w:val="000000"/>
                <w:sz w:val="21"/>
                <w:szCs w:val="21"/>
              </w:rPr>
              <w:t xml:space="preserve">江苏省核与辐射安全监督管理中心（业务专线）</w:t>
            </w:r>
            <w:r/>
          </w:p>
        </w:tc>
        <w:tc>
          <w:tcPr>
            <w:tcW w:w="3357" w:type="dxa"/>
            <w:vAlign w:val="center"/>
            <w:textDirection w:val="lrTb"/>
            <w:noWrap w:val="false"/>
          </w:tcPr>
          <w:p>
            <w:pPr>
              <w:pStyle w:val="1043"/>
              <w:ind w:firstLine="0"/>
              <w:jc w:val="left"/>
              <w:rPr>
                <w:color w:val="000000"/>
                <w:sz w:val="21"/>
                <w:szCs w:val="21"/>
              </w:rPr>
            </w:pPr>
            <w:r>
              <w:rPr>
                <w:color w:val="000000"/>
                <w:sz w:val="21"/>
                <w:szCs w:val="21"/>
                <w:lang w:bidi="ar"/>
              </w:rPr>
              <w:t xml:space="preserve">南京市建邺区云龙山路75号辐射环保生产综合楼</w:t>
            </w:r>
            <w:r>
              <w:rPr>
                <w:color w:val="000000"/>
                <w:sz w:val="21"/>
                <w:szCs w:val="21"/>
              </w:rPr>
            </w:r>
            <w:r/>
          </w:p>
        </w:tc>
        <w:tc>
          <w:tcPr>
            <w:tcW w:w="956" w:type="dxa"/>
            <w:vAlign w:val="center"/>
            <w:textDirection w:val="lrTb"/>
            <w:noWrap w:val="false"/>
          </w:tcPr>
          <w:p>
            <w:pPr>
              <w:pStyle w:val="1043"/>
              <w:ind w:firstLine="0"/>
              <w:jc w:val="left"/>
              <w:rPr>
                <w:color w:val="000000"/>
                <w:sz w:val="21"/>
                <w:szCs w:val="21"/>
              </w:rPr>
            </w:pPr>
            <w:r>
              <w:rPr>
                <w:color w:val="000000"/>
                <w:sz w:val="21"/>
                <w:szCs w:val="21"/>
              </w:rPr>
              <w:t xml:space="preserve">50M</w:t>
            </w:r>
            <w:r/>
          </w:p>
        </w:tc>
      </w:tr>
      <w:tr>
        <w:trPr/>
        <w:tc>
          <w:tcPr>
            <w:tcW w:w="863" w:type="dxa"/>
            <w:vAlign w:val="center"/>
            <w:textDirection w:val="lrTb"/>
            <w:noWrap w:val="false"/>
          </w:tcPr>
          <w:p>
            <w:pPr>
              <w:pStyle w:val="1043"/>
              <w:ind w:firstLine="0"/>
              <w:jc w:val="center"/>
              <w:rPr>
                <w:color w:val="000000"/>
                <w:sz w:val="21"/>
                <w:szCs w:val="21"/>
              </w:rPr>
            </w:pPr>
            <w:r>
              <w:rPr>
                <w:color w:val="000000"/>
                <w:sz w:val="21"/>
                <w:szCs w:val="21"/>
              </w:rPr>
              <w:t xml:space="preserve">7</w:t>
            </w:r>
            <w:r/>
          </w:p>
        </w:tc>
        <w:tc>
          <w:tcPr>
            <w:tcW w:w="3346" w:type="dxa"/>
            <w:vAlign w:val="center"/>
            <w:textDirection w:val="lrTb"/>
            <w:noWrap w:val="false"/>
          </w:tcPr>
          <w:p>
            <w:pPr>
              <w:pStyle w:val="1043"/>
              <w:ind w:firstLine="0"/>
              <w:jc w:val="center"/>
              <w:rPr>
                <w:color w:val="000000"/>
                <w:sz w:val="21"/>
                <w:szCs w:val="21"/>
              </w:rPr>
            </w:pPr>
            <w:r>
              <w:rPr>
                <w:color w:val="000000"/>
                <w:sz w:val="21"/>
                <w:szCs w:val="21"/>
              </w:rPr>
              <w:t xml:space="preserve">江苏省环境监测中心</w:t>
            </w:r>
            <w:r/>
          </w:p>
        </w:tc>
        <w:tc>
          <w:tcPr>
            <w:tcW w:w="3357" w:type="dxa"/>
            <w:vAlign w:val="center"/>
            <w:textDirection w:val="lrTb"/>
            <w:noWrap w:val="false"/>
          </w:tcPr>
          <w:p>
            <w:pPr>
              <w:pStyle w:val="1043"/>
              <w:ind w:firstLine="0"/>
              <w:jc w:val="left"/>
              <w:rPr>
                <w:color w:val="000000"/>
                <w:sz w:val="21"/>
                <w:szCs w:val="21"/>
              </w:rPr>
            </w:pPr>
            <w:r>
              <w:rPr>
                <w:color w:val="000000"/>
                <w:sz w:val="21"/>
                <w:szCs w:val="21"/>
              </w:rPr>
              <w:t xml:space="preserve">江苏省南京市建邺区中和路100号</w:t>
            </w:r>
            <w:r/>
          </w:p>
        </w:tc>
        <w:tc>
          <w:tcPr>
            <w:tcW w:w="956" w:type="dxa"/>
            <w:vAlign w:val="center"/>
            <w:textDirection w:val="lrTb"/>
            <w:noWrap w:val="false"/>
          </w:tcPr>
          <w:p>
            <w:pPr>
              <w:pStyle w:val="1043"/>
              <w:ind w:firstLine="0"/>
              <w:jc w:val="left"/>
              <w:rPr>
                <w:color w:val="000000"/>
                <w:sz w:val="21"/>
                <w:szCs w:val="21"/>
              </w:rPr>
            </w:pPr>
            <w:r>
              <w:rPr>
                <w:color w:val="000000"/>
                <w:sz w:val="21"/>
                <w:szCs w:val="21"/>
              </w:rPr>
              <w:t xml:space="preserve">300M</w:t>
            </w:r>
            <w:r/>
          </w:p>
        </w:tc>
      </w:tr>
      <w:tr>
        <w:trPr/>
        <w:tc>
          <w:tcPr>
            <w:tcW w:w="863" w:type="dxa"/>
            <w:vAlign w:val="center"/>
            <w:textDirection w:val="lrTb"/>
            <w:noWrap w:val="false"/>
          </w:tcPr>
          <w:p>
            <w:pPr>
              <w:pStyle w:val="1043"/>
              <w:ind w:firstLine="0"/>
              <w:jc w:val="center"/>
              <w:rPr>
                <w:color w:val="000000"/>
                <w:sz w:val="21"/>
                <w:szCs w:val="21"/>
              </w:rPr>
            </w:pPr>
            <w:r>
              <w:rPr>
                <w:color w:val="000000"/>
                <w:sz w:val="21"/>
                <w:szCs w:val="21"/>
              </w:rPr>
              <w:t xml:space="preserve">8</w:t>
            </w:r>
            <w:r/>
          </w:p>
        </w:tc>
        <w:tc>
          <w:tcPr>
            <w:tcW w:w="3346" w:type="dxa"/>
            <w:vAlign w:val="center"/>
            <w:textDirection w:val="lrTb"/>
            <w:noWrap w:val="false"/>
          </w:tcPr>
          <w:p>
            <w:pPr>
              <w:pStyle w:val="1043"/>
              <w:ind w:firstLine="0"/>
              <w:jc w:val="center"/>
              <w:rPr>
                <w:color w:val="000000"/>
                <w:sz w:val="21"/>
                <w:szCs w:val="21"/>
              </w:rPr>
            </w:pPr>
            <w:r>
              <w:rPr>
                <w:color w:val="000000"/>
                <w:sz w:val="21"/>
                <w:szCs w:val="21"/>
              </w:rPr>
              <w:t xml:space="preserve">江苏省固体废物管理中心</w:t>
            </w:r>
            <w:r/>
          </w:p>
        </w:tc>
        <w:tc>
          <w:tcPr>
            <w:tcW w:w="3357" w:type="dxa"/>
            <w:vAlign w:val="center"/>
            <w:textDirection w:val="lrTb"/>
            <w:noWrap w:val="false"/>
          </w:tcPr>
          <w:p>
            <w:pPr>
              <w:pStyle w:val="1043"/>
              <w:ind w:firstLine="0"/>
              <w:jc w:val="left"/>
              <w:rPr>
                <w:color w:val="000000"/>
                <w:sz w:val="21"/>
                <w:szCs w:val="21"/>
              </w:rPr>
            </w:pPr>
            <w:r>
              <w:rPr>
                <w:color w:val="000000"/>
                <w:sz w:val="21"/>
                <w:szCs w:val="21"/>
              </w:rPr>
              <w:t xml:space="preserve">南京市鼓楼区江东北路176号</w:t>
            </w:r>
            <w:r/>
          </w:p>
        </w:tc>
        <w:tc>
          <w:tcPr>
            <w:tcW w:w="956" w:type="dxa"/>
            <w:vAlign w:val="center"/>
            <w:textDirection w:val="lrTb"/>
            <w:noWrap w:val="false"/>
          </w:tcPr>
          <w:p>
            <w:pPr>
              <w:pStyle w:val="1043"/>
              <w:ind w:firstLine="0"/>
              <w:jc w:val="left"/>
              <w:rPr>
                <w:color w:val="000000"/>
                <w:sz w:val="21"/>
                <w:szCs w:val="21"/>
              </w:rPr>
            </w:pPr>
            <w:r>
              <w:rPr>
                <w:color w:val="000000"/>
                <w:sz w:val="21"/>
                <w:szCs w:val="21"/>
              </w:rPr>
              <w:t xml:space="preserve">100M</w:t>
            </w:r>
            <w:r/>
          </w:p>
        </w:tc>
      </w:tr>
    </w:tbl>
    <w:p>
      <w:pPr>
        <w:pStyle w:val="903"/>
        <w:ind w:firstLine="480"/>
        <w:rPr>
          <w:color w:val="000000"/>
          <w:sz w:val="24"/>
          <w:szCs w:val="24"/>
        </w:rPr>
      </w:pPr>
      <w:r>
        <w:rPr>
          <w:color w:val="000000"/>
          <w:sz w:val="24"/>
          <w:szCs w:val="24"/>
        </w:rPr>
        <w:t xml:space="preserve">参数规格如下：</w:t>
      </w:r>
      <w:r/>
    </w:p>
    <w:tbl>
      <w:tblPr>
        <w:tblW w:w="9071" w:type="dxa"/>
        <w:tblInd w:w="98" w:type="dxa"/>
        <w:tblLayout w:type="autofit"/>
        <w:tblCellMar>
          <w:left w:w="108" w:type="dxa"/>
          <w:top w:w="0" w:type="dxa"/>
          <w:right w:w="108" w:type="dxa"/>
          <w:bottom w:w="0" w:type="dxa"/>
        </w:tblCellMar>
        <w:tblLook w:val="04A0" w:firstRow="1" w:lastRow="0" w:firstColumn="1" w:lastColumn="0" w:noHBand="0" w:noVBand="1"/>
      </w:tblPr>
      <w:tblGrid>
        <w:gridCol w:w="719"/>
        <w:gridCol w:w="1701"/>
        <w:gridCol w:w="6651"/>
      </w:tblGrid>
      <w:tr>
        <w:trPr>
          <w:trHeight w:val="290"/>
        </w:trPr>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3"/>
              <w:jc w:val="center"/>
              <w:widowControl/>
              <w:rPr>
                <w:b/>
                <w:color w:val="000000"/>
              </w:rPr>
            </w:pPr>
            <w:r>
              <w:rPr>
                <w:b/>
                <w:color w:val="000000"/>
              </w:rPr>
              <w:t xml:space="preserve">序号</w:t>
            </w:r>
            <w:r/>
          </w:p>
        </w:tc>
        <w:tc>
          <w:tcPr>
            <w:tcBorders>
              <w:top w:val="single" w:color="000000" w:sz="8" w:space="0"/>
              <w:bottom w:val="single" w:color="000000" w:sz="8" w:space="0"/>
              <w:right w:val="single" w:color="000000" w:sz="8" w:space="0"/>
            </w:tcBorders>
            <w:tcW w:w="1701" w:type="dxa"/>
            <w:vAlign w:val="center"/>
            <w:textDirection w:val="lrTb"/>
            <w:noWrap w:val="false"/>
          </w:tcPr>
          <w:p>
            <w:pPr>
              <w:pStyle w:val="903"/>
              <w:jc w:val="center"/>
              <w:widowControl/>
              <w:rPr>
                <w:b/>
                <w:color w:val="000000"/>
              </w:rPr>
            </w:pPr>
            <w:r>
              <w:rPr>
                <w:b/>
                <w:color w:val="000000"/>
              </w:rPr>
              <w:t xml:space="preserve">业务种类</w:t>
            </w:r>
            <w:r/>
          </w:p>
        </w:tc>
        <w:tc>
          <w:tcPr>
            <w:tcBorders>
              <w:top w:val="single" w:color="000000" w:sz="8" w:space="0"/>
              <w:bottom w:val="single" w:color="000000" w:sz="8" w:space="0"/>
              <w:right w:val="single" w:color="000000" w:sz="8" w:space="0"/>
            </w:tcBorders>
            <w:tcW w:w="6651" w:type="dxa"/>
            <w:vAlign w:val="center"/>
            <w:textDirection w:val="lrTb"/>
            <w:noWrap w:val="false"/>
          </w:tcPr>
          <w:p>
            <w:pPr>
              <w:pStyle w:val="903"/>
              <w:widowControl/>
              <w:rPr>
                <w:b/>
                <w:color w:val="000000"/>
              </w:rPr>
            </w:pPr>
            <w:r>
              <w:rPr>
                <w:b/>
                <w:color w:val="000000"/>
              </w:rPr>
              <w:t xml:space="preserve">技术规格、参数要求</w:t>
            </w:r>
            <w:r/>
          </w:p>
        </w:tc>
      </w:tr>
      <w:tr>
        <w:trPr>
          <w:cantSplit/>
          <w:trHeight w:val="786"/>
        </w:trPr>
        <w:tc>
          <w:tcPr>
            <w:tcBorders>
              <w:left w:val="single" w:color="000000" w:sz="8" w:space="0"/>
              <w:bottom w:val="single" w:color="000000" w:sz="8" w:space="0"/>
              <w:right w:val="single" w:color="000000" w:sz="8" w:space="0"/>
            </w:tcBorders>
            <w:tcW w:w="719" w:type="dxa"/>
            <w:vAlign w:val="center"/>
            <w:textDirection w:val="lrTb"/>
            <w:noWrap/>
          </w:tcPr>
          <w:p>
            <w:pPr>
              <w:pStyle w:val="903"/>
              <w:jc w:val="center"/>
              <w:widowControl/>
              <w:rPr>
                <w:color w:val="000000"/>
              </w:rPr>
            </w:pPr>
            <w:r>
              <w:rPr>
                <w:color w:val="000000"/>
              </w:rPr>
              <w:t xml:space="preserve">1</w:t>
            </w:r>
            <w:r/>
          </w:p>
        </w:tc>
        <w:tc>
          <w:tcPr>
            <w:tcBorders>
              <w:right w:val="single" w:color="000000" w:sz="8" w:space="0"/>
            </w:tcBorders>
            <w:tcW w:w="1701" w:type="dxa"/>
            <w:vAlign w:val="center"/>
            <w:vMerge w:val="restart"/>
            <w:textDirection w:val="lrTb"/>
            <w:noWrap w:val="false"/>
          </w:tcPr>
          <w:p>
            <w:pPr>
              <w:pStyle w:val="903"/>
              <w:jc w:val="center"/>
              <w:widowControl/>
              <w:rPr>
                <w:color w:val="000000"/>
              </w:rPr>
            </w:pPr>
            <w:r>
              <w:rPr>
                <w:color w:val="000000"/>
              </w:rPr>
              <w:t xml:space="preserve">互联网专线</w:t>
            </w:r>
            <w:r/>
          </w:p>
          <w:p>
            <w:pPr>
              <w:pStyle w:val="903"/>
              <w:jc w:val="center"/>
              <w:widowControl/>
              <w:rPr>
                <w:color w:val="000000"/>
              </w:rPr>
            </w:pPr>
            <w:r>
              <w:rPr>
                <w:color w:val="000000"/>
              </w:rPr>
            </w:r>
            <w:r/>
          </w:p>
        </w:tc>
        <w:tc>
          <w:tcPr>
            <w:tcBorders>
              <w:bottom w:val="single" w:color="000000" w:sz="8" w:space="0"/>
              <w:right w:val="single" w:color="000000" w:sz="8" w:space="0"/>
            </w:tcBorders>
            <w:tcW w:w="6651" w:type="dxa"/>
            <w:vAlign w:val="center"/>
            <w:textDirection w:val="lrTb"/>
            <w:noWrap w:val="false"/>
          </w:tcPr>
          <w:p>
            <w:pPr>
              <w:pStyle w:val="903"/>
              <w:widowControl/>
              <w:rPr>
                <w:color w:val="000000"/>
              </w:rPr>
            </w:pPr>
            <w:r>
              <w:rPr>
                <w:color w:val="000000"/>
              </w:rPr>
              <w:t xml:space="preserve">上下行带宽对等，实际测速结果达到用户签约合同的带宽要求视为测速达标。</w:t>
            </w:r>
            <w:r/>
          </w:p>
        </w:tc>
      </w:tr>
      <w:tr>
        <w:trPr>
          <w:cantSplit/>
          <w:trHeight w:val="570"/>
        </w:trPr>
        <w:tc>
          <w:tcPr>
            <w:tcBorders>
              <w:left w:val="single" w:color="000000" w:sz="8" w:space="0"/>
              <w:bottom w:val="single" w:color="000000" w:sz="8" w:space="0"/>
              <w:right w:val="single" w:color="000000" w:sz="8" w:space="0"/>
            </w:tcBorders>
            <w:tcW w:w="719" w:type="dxa"/>
            <w:vAlign w:val="center"/>
            <w:textDirection w:val="lrTb"/>
            <w:noWrap/>
          </w:tcPr>
          <w:p>
            <w:pPr>
              <w:pStyle w:val="903"/>
              <w:jc w:val="center"/>
              <w:widowControl/>
              <w:rPr>
                <w:color w:val="000000"/>
              </w:rPr>
            </w:pPr>
            <w:r>
              <w:rPr>
                <w:color w:val="000000"/>
              </w:rPr>
              <w:t xml:space="preserve">2</w:t>
            </w:r>
            <w:r/>
          </w:p>
        </w:tc>
        <w:tc>
          <w:tcPr>
            <w:tcBorders>
              <w:right w:val="single" w:color="000000" w:sz="8" w:space="0"/>
            </w:tcBorders>
            <w:tcW w:w="1701" w:type="dxa"/>
            <w:vAlign w:val="center"/>
            <w:vMerge w:val="continue"/>
            <w:textDirection w:val="lrTb"/>
            <w:noWrap w:val="false"/>
          </w:tcPr>
          <w:p>
            <w:pPr>
              <w:pStyle w:val="903"/>
              <w:jc w:val="center"/>
              <w:widowControl/>
              <w:rPr>
                <w:color w:val="000000"/>
              </w:rPr>
            </w:pPr>
            <w:r>
              <w:rPr>
                <w:color w:val="000000"/>
              </w:rPr>
            </w:r>
            <w:r/>
          </w:p>
        </w:tc>
        <w:tc>
          <w:tcPr>
            <w:tcBorders>
              <w:bottom w:val="single" w:color="000000" w:sz="8" w:space="0"/>
              <w:right w:val="single" w:color="000000" w:sz="8" w:space="0"/>
            </w:tcBorders>
            <w:tcW w:w="6651" w:type="dxa"/>
            <w:vAlign w:val="center"/>
            <w:textDirection w:val="lrTb"/>
            <w:noWrap w:val="false"/>
          </w:tcPr>
          <w:p>
            <w:pPr>
              <w:pStyle w:val="903"/>
              <w:widowControl/>
              <w:rPr>
                <w:color w:val="000000"/>
              </w:rPr>
            </w:pPr>
            <w:r>
              <w:rPr>
                <w:rFonts w:hint="eastAsia" w:ascii="宋体" w:hAnsi="宋体" w:cs="宋体"/>
                <w:color w:val="000000"/>
                <w:lang w:val="zh-CN"/>
              </w:rPr>
              <w:t xml:space="preserve">★</w:t>
            </w:r>
            <w:r>
              <w:rPr>
                <w:color w:val="000000"/>
              </w:rPr>
              <w:t xml:space="preserve">丢包率：对公网DNS进行Ping包测试，包长为默认64Byte，平均丢包率≤2%。</w:t>
            </w:r>
            <w:r/>
          </w:p>
        </w:tc>
      </w:tr>
      <w:tr>
        <w:trPr>
          <w:cantSplit/>
          <w:trHeight w:val="511"/>
        </w:trPr>
        <w:tc>
          <w:tcPr>
            <w:tcBorders>
              <w:left w:val="single" w:color="000000" w:sz="8" w:space="0"/>
              <w:bottom w:val="single" w:color="000000" w:sz="8" w:space="0"/>
              <w:right w:val="single" w:color="000000" w:sz="8" w:space="0"/>
            </w:tcBorders>
            <w:tcW w:w="719" w:type="dxa"/>
            <w:vAlign w:val="center"/>
            <w:textDirection w:val="lrTb"/>
            <w:noWrap/>
          </w:tcPr>
          <w:p>
            <w:pPr>
              <w:pStyle w:val="903"/>
              <w:jc w:val="center"/>
              <w:widowControl/>
              <w:rPr>
                <w:color w:val="000000"/>
              </w:rPr>
            </w:pPr>
            <w:r>
              <w:rPr>
                <w:color w:val="000000"/>
              </w:rPr>
              <w:t xml:space="preserve">3</w:t>
            </w:r>
            <w:r/>
          </w:p>
        </w:tc>
        <w:tc>
          <w:tcPr>
            <w:tcBorders>
              <w:right w:val="single" w:color="000000" w:sz="8" w:space="0"/>
            </w:tcBorders>
            <w:tcW w:w="1701" w:type="dxa"/>
            <w:vAlign w:val="center"/>
            <w:vMerge w:val="continue"/>
            <w:textDirection w:val="lrTb"/>
            <w:noWrap w:val="false"/>
          </w:tcPr>
          <w:p>
            <w:pPr>
              <w:pStyle w:val="903"/>
              <w:jc w:val="center"/>
              <w:widowControl/>
              <w:rPr>
                <w:color w:val="000000"/>
              </w:rPr>
            </w:pPr>
            <w:r>
              <w:rPr>
                <w:color w:val="000000"/>
              </w:rPr>
            </w:r>
            <w:r/>
          </w:p>
        </w:tc>
        <w:tc>
          <w:tcPr>
            <w:tcBorders>
              <w:top w:val="single" w:color="000000" w:sz="4" w:space="0"/>
              <w:bottom w:val="single" w:color="000000" w:sz="8" w:space="0"/>
              <w:right w:val="single" w:color="000000" w:sz="8" w:space="0"/>
            </w:tcBorders>
            <w:tcW w:w="6651" w:type="dxa"/>
            <w:vAlign w:val="center"/>
            <w:textDirection w:val="lrTb"/>
            <w:noWrap w:val="false"/>
          </w:tcPr>
          <w:p>
            <w:pPr>
              <w:pStyle w:val="903"/>
              <w:widowControl/>
              <w:rPr>
                <w:color w:val="000000"/>
              </w:rPr>
            </w:pPr>
            <w:r>
              <w:rPr>
                <w:rFonts w:hint="eastAsia" w:ascii="宋体" w:hAnsi="宋体" w:cs="宋体"/>
                <w:color w:val="000000"/>
                <w:lang w:val="zh-CN"/>
              </w:rPr>
              <w:t xml:space="preserve">★</w:t>
            </w:r>
            <w:r>
              <w:rPr>
                <w:color w:val="000000"/>
              </w:rPr>
              <w:t xml:space="preserve">IP地址：每条宽带提供互联网专用固定IP地址。</w:t>
            </w:r>
            <w:r/>
          </w:p>
        </w:tc>
      </w:tr>
      <w:tr>
        <w:trPr>
          <w:cantSplit/>
          <w:trHeight w:val="570"/>
        </w:trPr>
        <w:tc>
          <w:tcPr>
            <w:tcBorders>
              <w:left w:val="single" w:color="000000" w:sz="8" w:space="0"/>
              <w:bottom w:val="single" w:color="000000" w:sz="8" w:space="0"/>
              <w:right w:val="single" w:color="000000" w:sz="8" w:space="0"/>
            </w:tcBorders>
            <w:tcW w:w="719" w:type="dxa"/>
            <w:vAlign w:val="center"/>
            <w:textDirection w:val="lrTb"/>
            <w:noWrap/>
          </w:tcPr>
          <w:p>
            <w:pPr>
              <w:pStyle w:val="903"/>
              <w:jc w:val="center"/>
              <w:widowControl/>
              <w:rPr>
                <w:color w:val="000000"/>
              </w:rPr>
            </w:pPr>
            <w:r>
              <w:rPr>
                <w:color w:val="000000"/>
              </w:rPr>
              <w:t xml:space="preserve">4</w:t>
            </w:r>
            <w:r/>
          </w:p>
        </w:tc>
        <w:tc>
          <w:tcPr>
            <w:tcBorders>
              <w:bottom w:val="single" w:color="000000" w:sz="8" w:space="0"/>
              <w:right w:val="single" w:color="000000" w:sz="8" w:space="0"/>
            </w:tcBorders>
            <w:tcW w:w="1701" w:type="dxa"/>
            <w:vAlign w:val="center"/>
            <w:vMerge w:val="continue"/>
            <w:textDirection w:val="lrTb"/>
            <w:noWrap w:val="false"/>
          </w:tcPr>
          <w:p>
            <w:pPr>
              <w:pStyle w:val="903"/>
              <w:jc w:val="center"/>
              <w:widowControl/>
              <w:rPr>
                <w:color w:val="000000"/>
              </w:rPr>
            </w:pPr>
            <w:r>
              <w:rPr>
                <w:color w:val="000000"/>
              </w:rPr>
            </w:r>
            <w:r/>
          </w:p>
        </w:tc>
        <w:tc>
          <w:tcPr>
            <w:tcBorders>
              <w:bottom w:val="single" w:color="000000" w:sz="8" w:space="0"/>
              <w:right w:val="single" w:color="000000" w:sz="8" w:space="0"/>
            </w:tcBorders>
            <w:tcW w:w="6651" w:type="dxa"/>
            <w:vAlign w:val="center"/>
            <w:textDirection w:val="lrTb"/>
            <w:noWrap w:val="false"/>
          </w:tcPr>
          <w:p>
            <w:pPr>
              <w:pStyle w:val="903"/>
              <w:widowControl/>
              <w:rPr>
                <w:color w:val="000000"/>
              </w:rPr>
            </w:pPr>
            <w:r>
              <w:rPr>
                <w:color w:val="000000"/>
              </w:rPr>
              <w:t xml:space="preserve">网络时延：对公网DNS进行Ping包测试，包长为默认64Byte，要求平均时延≤50ms。</w:t>
            </w:r>
            <w:r/>
          </w:p>
        </w:tc>
      </w:tr>
      <w:tr>
        <w:trPr>
          <w:cantSplit/>
          <w:trHeight w:val="524"/>
        </w:trPr>
        <w:tc>
          <w:tcPr>
            <w:tcBorders>
              <w:left w:val="single" w:color="000000" w:sz="8" w:space="0"/>
              <w:bottom w:val="single" w:color="000000" w:sz="8" w:space="0"/>
              <w:right w:val="single" w:color="000000" w:sz="8" w:space="0"/>
            </w:tcBorders>
            <w:tcW w:w="719" w:type="dxa"/>
            <w:vAlign w:val="center"/>
            <w:textDirection w:val="lrTb"/>
            <w:noWrap/>
          </w:tcPr>
          <w:p>
            <w:pPr>
              <w:pStyle w:val="903"/>
              <w:jc w:val="center"/>
              <w:widowControl/>
              <w:rPr>
                <w:color w:val="000000"/>
              </w:rPr>
            </w:pPr>
            <w:r>
              <w:rPr>
                <w:color w:val="000000"/>
              </w:rPr>
              <w:t xml:space="preserve">5</w:t>
            </w:r>
            <w:r/>
          </w:p>
        </w:tc>
        <w:tc>
          <w:tcPr>
            <w:tcBorders>
              <w:bottom w:val="single" w:color="000000" w:sz="8" w:space="0"/>
              <w:right w:val="single" w:color="000000" w:sz="8" w:space="0"/>
            </w:tcBorders>
            <w:tcW w:w="1701" w:type="dxa"/>
            <w:vAlign w:val="center"/>
            <w:vMerge w:val="continue"/>
            <w:textDirection w:val="lrTb"/>
            <w:noWrap w:val="false"/>
          </w:tcPr>
          <w:p>
            <w:pPr>
              <w:pStyle w:val="903"/>
              <w:jc w:val="center"/>
              <w:widowControl/>
              <w:rPr>
                <w:color w:val="000000"/>
              </w:rPr>
            </w:pPr>
            <w:r>
              <w:rPr>
                <w:color w:val="000000"/>
              </w:rPr>
            </w:r>
            <w:r/>
          </w:p>
        </w:tc>
        <w:tc>
          <w:tcPr>
            <w:tcBorders>
              <w:bottom w:val="single" w:color="000000" w:sz="8" w:space="0"/>
              <w:right w:val="single" w:color="000000" w:sz="8" w:space="0"/>
            </w:tcBorders>
            <w:tcW w:w="6651" w:type="dxa"/>
            <w:vAlign w:val="center"/>
            <w:textDirection w:val="lrTb"/>
            <w:noWrap w:val="false"/>
          </w:tcPr>
          <w:p>
            <w:pPr>
              <w:pStyle w:val="903"/>
              <w:widowControl/>
              <w:rPr>
                <w:color w:val="000000"/>
              </w:rPr>
            </w:pPr>
            <w:r>
              <w:rPr>
                <w:color w:val="000000"/>
              </w:rPr>
              <w:t xml:space="preserve">业务可用率：线路通路全年可用率平均达到99％。</w:t>
            </w:r>
            <w:r/>
          </w:p>
        </w:tc>
      </w:tr>
      <w:tr>
        <w:trPr>
          <w:cantSplit/>
          <w:trHeight w:val="405"/>
        </w:trPr>
        <w:tc>
          <w:tcPr>
            <w:tcBorders>
              <w:left w:val="single" w:color="000000" w:sz="8" w:space="0"/>
              <w:bottom w:val="single" w:color="000000" w:sz="8" w:space="0"/>
              <w:right w:val="single" w:color="000000" w:sz="8" w:space="0"/>
            </w:tcBorders>
            <w:tcW w:w="719" w:type="dxa"/>
            <w:vAlign w:val="center"/>
            <w:textDirection w:val="lrTb"/>
            <w:noWrap/>
          </w:tcPr>
          <w:p>
            <w:pPr>
              <w:pStyle w:val="903"/>
              <w:jc w:val="center"/>
              <w:widowControl/>
              <w:rPr>
                <w:color w:val="000000"/>
              </w:rPr>
            </w:pPr>
            <w:r>
              <w:rPr>
                <w:color w:val="000000"/>
              </w:rPr>
              <w:t xml:space="preserve">6</w:t>
            </w:r>
            <w:r/>
          </w:p>
        </w:tc>
        <w:tc>
          <w:tcPr>
            <w:tcBorders>
              <w:bottom w:val="single" w:color="000000" w:sz="8" w:space="0"/>
              <w:right w:val="single" w:color="000000" w:sz="8" w:space="0"/>
            </w:tcBorders>
            <w:tcW w:w="1701" w:type="dxa"/>
            <w:vAlign w:val="center"/>
            <w:vMerge w:val="continue"/>
            <w:textDirection w:val="lrTb"/>
            <w:noWrap w:val="false"/>
          </w:tcPr>
          <w:p>
            <w:pPr>
              <w:pStyle w:val="903"/>
              <w:jc w:val="center"/>
              <w:widowControl/>
              <w:rPr>
                <w:color w:val="000000"/>
              </w:rPr>
            </w:pPr>
            <w:r>
              <w:rPr>
                <w:color w:val="000000"/>
              </w:rPr>
            </w:r>
            <w:r/>
          </w:p>
        </w:tc>
        <w:tc>
          <w:tcPr>
            <w:tcBorders>
              <w:bottom w:val="single" w:color="000000" w:sz="8" w:space="0"/>
              <w:right w:val="single" w:color="000000" w:sz="8" w:space="0"/>
            </w:tcBorders>
            <w:tcW w:w="6651" w:type="dxa"/>
            <w:vAlign w:val="center"/>
            <w:textDirection w:val="lrTb"/>
            <w:noWrap w:val="false"/>
          </w:tcPr>
          <w:p>
            <w:pPr>
              <w:pStyle w:val="903"/>
              <w:widowControl/>
              <w:rPr>
                <w:color w:val="000000"/>
                <w:highlight w:val="none"/>
              </w:rPr>
            </w:pPr>
            <w:r>
              <w:rPr>
                <w:color w:val="000000"/>
              </w:rPr>
              <w:t xml:space="preserve">接口要求：提供FE接口。</w:t>
            </w:r>
            <w:r/>
          </w:p>
          <w:p>
            <w:pPr>
              <w:widowControl/>
              <w:rPr>
                <w:color w:val="000000"/>
              </w:rPr>
            </w:pPr>
            <w:r>
              <w:rPr>
                <w:color w:val="000000"/>
              </w:rPr>
            </w:r>
            <w:r>
              <w:rPr>
                <w:color w:val="000000"/>
              </w:rPr>
            </w:r>
            <w:r/>
          </w:p>
        </w:tc>
      </w:tr>
      <w:tr>
        <w:trPr>
          <w:trHeight w:val="571"/>
        </w:trPr>
        <w:tc>
          <w:tcPr>
            <w:tcBorders>
              <w:top w:val="single" w:color="000000" w:sz="4" w:space="0"/>
              <w:left w:val="single" w:color="000000" w:sz="8" w:space="0"/>
              <w:bottom w:val="single" w:color="000000" w:sz="8" w:space="0"/>
              <w:right w:val="single" w:color="000000" w:sz="8" w:space="0"/>
            </w:tcBorders>
            <w:tcW w:w="719" w:type="dxa"/>
            <w:vAlign w:val="center"/>
            <w:vMerge w:val="restart"/>
            <w:textDirection w:val="lrTb"/>
            <w:noWrap/>
          </w:tcPr>
          <w:p>
            <w:pPr>
              <w:pStyle w:val="903"/>
              <w:jc w:val="center"/>
              <w:widowControl/>
              <w:rPr>
                <w:color w:val="000000"/>
              </w:rPr>
            </w:pPr>
            <w:r>
              <w:rPr>
                <w:color w:val="000000"/>
              </w:rPr>
              <w:t xml:space="preserve">7</w:t>
            </w:r>
            <w:r>
              <w:rPr>
                <w:color w:val="000000"/>
              </w:rPr>
            </w:r>
            <w:r/>
          </w:p>
        </w:tc>
        <w:tc>
          <w:tcPr>
            <w:tcBorders>
              <w:top w:val="single" w:color="000000" w:sz="4" w:space="0"/>
              <w:bottom w:val="single" w:color="000000" w:sz="8" w:space="0"/>
              <w:right w:val="single" w:color="000000" w:sz="8" w:space="0"/>
            </w:tcBorders>
            <w:tcW w:w="1701" w:type="dxa"/>
            <w:vAlign w:val="center"/>
            <w:vMerge w:val="continue"/>
            <w:textDirection w:val="lrTb"/>
            <w:noWrap w:val="false"/>
          </w:tcPr>
          <w:p>
            <w:pPr>
              <w:pStyle w:val="903"/>
              <w:jc w:val="center"/>
              <w:widowControl/>
              <w:rPr>
                <w:color w:val="000000"/>
              </w:rPr>
            </w:pPr>
            <w:r>
              <w:rPr>
                <w:color w:val="000000"/>
              </w:rPr>
            </w:r>
            <w:r>
              <w:rPr>
                <w:color w:val="000000"/>
              </w:rPr>
            </w:r>
            <w:r/>
          </w:p>
        </w:tc>
        <w:tc>
          <w:tcPr>
            <w:tcBorders>
              <w:top w:val="single" w:color="000000" w:sz="4" w:space="0"/>
              <w:bottom w:val="single" w:color="000000" w:sz="8" w:space="0"/>
              <w:right w:val="single" w:color="000000" w:sz="8" w:space="0"/>
            </w:tcBorders>
            <w:tcW w:w="6651" w:type="dxa"/>
            <w:vAlign w:val="center"/>
            <w:vMerge w:val="restart"/>
            <w:textDirection w:val="lrTb"/>
            <w:noWrap w:val="false"/>
          </w:tcPr>
          <w:p>
            <w:pPr>
              <w:widowControl/>
              <w:rPr>
                <w:color w:val="000000" w:themeColor="text1"/>
                <w:u w:val="none"/>
              </w:rPr>
            </w:pPr>
            <w:r>
              <w:rPr>
                <w:color w:val="000000" w:themeColor="text1"/>
                <w:highlight w:val="none"/>
                <w:u w:val="none"/>
              </w:rPr>
            </w:r>
            <w:r>
              <w:rPr>
                <w:rFonts w:ascii="SimSun" w:hAnsi="SimSun" w:eastAsia="SimSun" w:cs="SimSun"/>
                <w:color w:val="000000" w:themeColor="text1"/>
                <w:sz w:val="21"/>
                <w:u w:val="none"/>
              </w:rPr>
              <w:t xml:space="preserve">如后续存在线路调整或合并需求，投标人需配合甲方完成网络割接及测试工作。</w:t>
            </w:r>
            <w:r>
              <w:rPr>
                <w:color w:val="000000" w:themeColor="text1"/>
                <w:u w:val="none"/>
              </w:rPr>
            </w:r>
            <w:r/>
          </w:p>
          <w:p>
            <w:pPr>
              <w:pStyle w:val="903"/>
              <w:widowControl/>
              <w:rPr>
                <w:color w:val="000000"/>
              </w:rPr>
            </w:pPr>
            <w:r>
              <w:rPr>
                <w:color w:val="000000"/>
              </w:rPr>
            </w:r>
            <w:r>
              <w:rPr>
                <w:color w:val="000000"/>
              </w:rPr>
            </w:r>
            <w:r/>
          </w:p>
        </w:tc>
      </w:tr>
    </w:tbl>
    <w:p>
      <w:pPr>
        <w:pStyle w:val="903"/>
        <w:ind w:firstLine="480"/>
        <w:rPr>
          <w:color w:val="000000"/>
          <w:sz w:val="24"/>
        </w:rPr>
      </w:pPr>
      <w:r>
        <w:rPr>
          <w:color w:val="000000"/>
          <w:sz w:val="24"/>
        </w:rPr>
      </w:r>
      <w:r/>
    </w:p>
    <w:p>
      <w:pPr>
        <w:pStyle w:val="907"/>
        <w:numPr>
          <w:ilvl w:val="0"/>
          <w:numId w:val="10"/>
        </w:numPr>
        <w:spacing w:before="0" w:after="0" w:line="360" w:lineRule="auto"/>
        <w:rPr>
          <w:rFonts w:ascii="Times New Roman" w:hAnsi="Times New Roman"/>
          <w:color w:val="000000"/>
        </w:rPr>
      </w:pPr>
      <w:r>
        <w:rPr>
          <w:rFonts w:ascii="Times New Roman" w:hAnsi="Times New Roman"/>
          <w:color w:val="000000"/>
        </w:rPr>
        <w:t xml:space="preserve">VPDN移动专网安全接入需求</w:t>
      </w:r>
      <w:r/>
    </w:p>
    <w:p>
      <w:pPr>
        <w:pStyle w:val="903"/>
        <w:ind w:firstLine="480"/>
        <w:rPr>
          <w:color w:val="000000"/>
          <w:sz w:val="24"/>
        </w:rPr>
      </w:pPr>
      <w:r/>
      <w:bookmarkStart w:id="223" w:name="_Toc13243"/>
      <w:r>
        <w:rPr>
          <w:color w:val="000000"/>
          <w:sz w:val="24"/>
        </w:rPr>
        <w:t xml:space="preserve">在生态环境厅整体信息化规划的指导下，2026移动办公数据接入服务将继续满足厅内职工移动数据的使用需求：在保障网络安全的前提下，确保移动端在高速流量环境下平滑过渡，同时满足语音通话、内部通信等功能，为居家办公、提供必要条件，提升服务适配性与用户使用体验，并提供VPDN专网电路1条，以满足至少630台移动执法、移动办公等移动终端APP安全接入的需求。</w:t>
      </w:r>
      <w:bookmarkEnd w:id="223"/>
      <w:r/>
      <w:bookmarkStart w:id="224" w:name="_Toc26705"/>
      <w:r>
        <w:rPr>
          <w:color w:val="000000"/>
          <w:sz w:val="24"/>
        </w:rPr>
        <w:t xml:space="preserve">每月具体服务内容包括：</w:t>
      </w:r>
      <w:bookmarkEnd w:id="224"/>
      <w:r>
        <w:rPr>
          <w:color w:val="000000"/>
          <w:sz w:val="24"/>
        </w:rPr>
      </w:r>
      <w:r/>
    </w:p>
    <w:p>
      <w:pPr>
        <w:pStyle w:val="903"/>
        <w:ind w:firstLine="480"/>
        <w:rPr>
          <w:color w:val="000000"/>
          <w:sz w:val="24"/>
        </w:rPr>
      </w:pPr>
      <w:r/>
      <w:bookmarkStart w:id="225" w:name="_Toc32737"/>
      <w:r>
        <w:rPr>
          <w:color w:val="000000"/>
          <w:sz w:val="24"/>
        </w:rPr>
        <w:t xml:space="preserve">（1）数据接入数量预计为 630套，采购人可根据实际终端接入情况对数量进行增减调整，投标人不得因数量变动调整单个接入终端报价。</w:t>
      </w:r>
      <w:bookmarkEnd w:id="225"/>
      <w:r>
        <w:rPr>
          <w:color w:val="000000"/>
          <w:sz w:val="24"/>
        </w:rPr>
      </w:r>
      <w:r/>
    </w:p>
    <w:p>
      <w:pPr>
        <w:pStyle w:val="903"/>
        <w:ind w:firstLine="480"/>
        <w:rPr>
          <w:color w:val="000000"/>
          <w:sz w:val="24"/>
        </w:rPr>
      </w:pPr>
      <w:r/>
      <w:bookmarkStart w:id="226" w:name="_Toc12844"/>
      <w:r>
        <w:rPr>
          <w:color w:val="000000"/>
          <w:sz w:val="24"/>
        </w:rPr>
        <w:t xml:space="preserve">（2）</w:t>
      </w:r>
      <w:r>
        <w:rPr>
          <w:rFonts w:hint="eastAsia" w:ascii="宋体" w:hAnsi="宋体" w:cs="宋体"/>
          <w:color w:val="000000"/>
          <w:lang w:val="zh-CN"/>
        </w:rPr>
        <w:t xml:space="preserve">★</w:t>
      </w:r>
      <w:r>
        <w:rPr>
          <w:color w:val="000000"/>
          <w:sz w:val="24"/>
        </w:rPr>
        <w:t xml:space="preserve">提供全国移动流量接入服务不低于100G，支持 5G/4G/3G 网络，确保在 4G/5G 高速流量环境下平滑过渡。</w:t>
      </w:r>
      <w:bookmarkEnd w:id="226"/>
      <w:r>
        <w:rPr>
          <w:color w:val="000000"/>
          <w:sz w:val="24"/>
        </w:rPr>
      </w:r>
      <w:r/>
    </w:p>
    <w:p>
      <w:pPr>
        <w:pStyle w:val="903"/>
        <w:ind w:firstLine="480"/>
        <w:rPr>
          <w:color w:val="000000"/>
          <w:sz w:val="24"/>
        </w:rPr>
      </w:pPr>
      <w:r/>
      <w:bookmarkStart w:id="227" w:name="_Toc9607"/>
      <w:r>
        <w:rPr>
          <w:color w:val="000000"/>
          <w:sz w:val="24"/>
        </w:rPr>
        <w:t xml:space="preserve">（3）提供全国语音通话服务不少于 1500 分钟。</w:t>
      </w:r>
      <w:bookmarkEnd w:id="227"/>
      <w:r>
        <w:rPr>
          <w:color w:val="000000"/>
          <w:sz w:val="24"/>
        </w:rPr>
      </w:r>
      <w:r/>
    </w:p>
    <w:p>
      <w:pPr>
        <w:pStyle w:val="903"/>
        <w:ind w:firstLine="480"/>
        <w:rPr>
          <w:color w:val="000000"/>
          <w:sz w:val="24"/>
        </w:rPr>
      </w:pPr>
      <w:r/>
      <w:bookmarkStart w:id="228" w:name="_Toc3373"/>
      <w:r>
        <w:rPr>
          <w:color w:val="000000"/>
          <w:sz w:val="24"/>
        </w:rPr>
        <w:t xml:space="preserve">（4）提供单位内部通信通话服务不少于 500 分钟。</w:t>
      </w:r>
      <w:bookmarkEnd w:id="228"/>
      <w:r>
        <w:rPr>
          <w:color w:val="000000"/>
          <w:sz w:val="24"/>
        </w:rPr>
      </w:r>
      <w:r/>
    </w:p>
    <w:p>
      <w:pPr>
        <w:pStyle w:val="903"/>
        <w:ind w:firstLine="480"/>
        <w:rPr>
          <w:color w:val="000000"/>
          <w:sz w:val="24"/>
        </w:rPr>
      </w:pPr>
      <w:r/>
      <w:bookmarkStart w:id="229" w:name="_Toc12228"/>
      <w:r>
        <w:rPr>
          <w:color w:val="000000"/>
          <w:sz w:val="24"/>
        </w:rPr>
        <w:t xml:space="preserve">（5）提供南京市家庭宽带服务不低于 1000M。</w:t>
      </w:r>
      <w:bookmarkEnd w:id="229"/>
      <w:r>
        <w:rPr>
          <w:color w:val="000000"/>
          <w:sz w:val="24"/>
        </w:rPr>
      </w:r>
      <w:r/>
    </w:p>
    <w:p>
      <w:pPr>
        <w:pStyle w:val="903"/>
        <w:ind w:firstLine="480"/>
        <w:rPr>
          <w:color w:val="000000"/>
          <w:sz w:val="24"/>
        </w:rPr>
      </w:pPr>
      <w:r>
        <w:rPr>
          <w:color w:val="000000"/>
          <w:sz w:val="24"/>
        </w:rPr>
        <w:t xml:space="preserve">（6）主号提供短信服务每月不少于100条。</w:t>
      </w:r>
      <w:r/>
    </w:p>
    <w:p>
      <w:pPr>
        <w:pStyle w:val="903"/>
        <w:ind w:firstLine="480"/>
        <w:rPr>
          <w:color w:val="000000"/>
          <w:sz w:val="24"/>
        </w:rPr>
      </w:pPr>
      <w:r/>
      <w:bookmarkStart w:id="230" w:name="_Toc8024"/>
      <w:r>
        <w:rPr>
          <w:color w:val="000000"/>
          <w:sz w:val="24"/>
        </w:rPr>
        <w:t xml:space="preserve">（7）</w:t>
      </w:r>
      <w:r>
        <w:rPr>
          <w:rFonts w:hint="eastAsia" w:ascii="宋体" w:hAnsi="宋体" w:cs="宋体"/>
          <w:color w:val="000000"/>
          <w:lang w:val="zh-CN"/>
        </w:rPr>
        <w:t xml:space="preserve">★</w:t>
      </w:r>
      <w:r>
        <w:rPr>
          <w:color w:val="000000"/>
          <w:sz w:val="24"/>
        </w:rPr>
        <w:t xml:space="preserve">移动网络运营商需提供全国范围内语音免费漫游服务。</w:t>
      </w:r>
      <w:bookmarkEnd w:id="230"/>
      <w:r/>
      <w:bookmarkStart w:id="231" w:name="_Toc21588"/>
      <w:r>
        <w:rPr>
          <w:color w:val="000000"/>
          <w:sz w:val="24"/>
        </w:rPr>
      </w:r>
      <w:r/>
    </w:p>
    <w:p>
      <w:pPr>
        <w:pStyle w:val="903"/>
        <w:ind w:firstLine="480"/>
        <w:rPr>
          <w:color w:val="000000"/>
          <w:sz w:val="24"/>
        </w:rPr>
      </w:pPr>
      <w:r>
        <w:rPr>
          <w:color w:val="000000"/>
          <w:sz w:val="24"/>
        </w:rPr>
        <w:t xml:space="preserve">交付要求：</w:t>
      </w:r>
      <w:bookmarkEnd w:id="231"/>
      <w:r>
        <w:rPr>
          <w:color w:val="000000"/>
          <w:sz w:val="24"/>
        </w:rPr>
        <w:t xml:space="preserve">为最大限度地保证职工使用移动办公数据接入服务的稳定性和持续性，要求中标服务商于本合同中标后15个工作日内，完成所有用户的服务切换。</w:t>
      </w:r>
      <w:r/>
    </w:p>
    <w:p>
      <w:pPr>
        <w:pStyle w:val="903"/>
        <w:ind w:firstLine="480"/>
        <w:rPr>
          <w:color w:val="000000"/>
          <w:sz w:val="24"/>
        </w:rPr>
      </w:pPr>
      <w:r>
        <w:rPr>
          <w:color w:val="000000"/>
          <w:sz w:val="24"/>
        </w:rPr>
        <w:t xml:space="preserve">服务要求：运营商网络日常服务满足国家相关法律法规和相关服务规范要求。需根据实际使用场景及业务的安全性保障，制定安全管控策略，明确管控操作方法，确保具备实际落地性。</w:t>
      </w:r>
      <w:r/>
    </w:p>
    <w:p>
      <w:pPr>
        <w:pStyle w:val="903"/>
        <w:ind w:firstLine="420"/>
        <w:rPr>
          <w:color w:val="000000"/>
          <w:sz w:val="24"/>
        </w:rPr>
      </w:pPr>
      <w:r>
        <w:rPr>
          <w:rFonts w:hint="eastAsia" w:ascii="宋体" w:hAnsi="宋体" w:cs="宋体"/>
          <w:color w:val="000000"/>
        </w:rPr>
        <w:t xml:space="preserve">★</w:t>
      </w:r>
      <w:r>
        <w:rPr>
          <w:color w:val="000000"/>
          <w:sz w:val="24"/>
        </w:rPr>
        <w:t xml:space="preserve">SIM卡要求：因厅内办公接入要求，本次采购移动办公数据接入服务需满足厅内工作信息防护要求，供应商提供SIM卡需要具有数十兆字节的存储空间，卡内存储量子安全密钥、数字证书等信息；SIM卡内置密码芯片,提供数据加解密、证书签名验签等能力产品通过了国家密码管理局商用密码监测中心的《密码模块安全技术要求》第二级要求（需要提供产品产品白皮书和SIM卡商密证书）。</w:t>
      </w:r>
      <w:r/>
    </w:p>
    <w:p>
      <w:pPr>
        <w:pStyle w:val="907"/>
        <w:numPr>
          <w:ilvl w:val="0"/>
          <w:numId w:val="10"/>
        </w:numPr>
        <w:spacing w:before="0" w:after="0" w:line="360" w:lineRule="auto"/>
        <w:rPr>
          <w:rFonts w:ascii="Times New Roman" w:hAnsi="Times New Roman"/>
          <w:color w:val="000000"/>
        </w:rPr>
      </w:pPr>
      <w:r>
        <w:rPr>
          <w:rFonts w:ascii="Times New Roman" w:hAnsi="Times New Roman"/>
          <w:color w:val="000000"/>
        </w:rPr>
        <w:t xml:space="preserve">项目整体服务要求</w:t>
      </w:r>
      <w:r/>
    </w:p>
    <w:p>
      <w:pPr>
        <w:pStyle w:val="903"/>
        <w:ind w:firstLine="480"/>
        <w:rPr>
          <w:color w:val="000000"/>
          <w:sz w:val="24"/>
        </w:rPr>
      </w:pPr>
      <w:r>
        <w:rPr>
          <w:color w:val="000000"/>
          <w:sz w:val="24"/>
        </w:rPr>
        <w:t xml:space="preserve">在服务期间，要求提供服务的成交供应商具备以下服务能力，并提供相应服务。</w:t>
      </w:r>
      <w:r/>
    </w:p>
    <w:p>
      <w:pPr>
        <w:pStyle w:val="903"/>
        <w:ind w:firstLine="480"/>
        <w:rPr>
          <w:color w:val="000000"/>
          <w:sz w:val="24"/>
        </w:rPr>
      </w:pPr>
      <w:r>
        <w:rPr>
          <w:color w:val="000000"/>
          <w:sz w:val="24"/>
        </w:rPr>
        <w:t xml:space="preserve">承担骨干传输电路及接入传输电路端到端的维护管理任务。每季度向用户提供电路运行质量报告，确保电路各项运行指标正常。骨干电路出现重大故障时，能快速启用冗余备份电路。要求环保业务专网可用率平均达到99.8%；端对端可用率达到99.7%；业务中断四个小时内线路恢复百分比为90%；平均恢复时间小于4小时。</w:t>
      </w:r>
      <w:r/>
    </w:p>
    <w:p>
      <w:pPr>
        <w:pStyle w:val="903"/>
        <w:ind w:firstLine="480"/>
        <w:rPr>
          <w:color w:val="000000"/>
          <w:sz w:val="24"/>
        </w:rPr>
      </w:pPr>
      <w:r>
        <w:rPr>
          <w:color w:val="000000"/>
          <w:sz w:val="24"/>
        </w:rPr>
        <w:t xml:space="preserve">确保专线网络通讯的信息安全，提出专线系统的安全解决方案，承诺专线仅为采购人专用，任何第三方用户不得通过专线接入采购人网络。</w:t>
      </w:r>
      <w:r/>
    </w:p>
    <w:p>
      <w:pPr>
        <w:pStyle w:val="903"/>
        <w:ind w:firstLine="480"/>
        <w:rPr>
          <w:color w:val="000000"/>
          <w:sz w:val="24"/>
        </w:rPr>
      </w:pPr>
      <w:r>
        <w:rPr>
          <w:color w:val="000000"/>
          <w:sz w:val="24"/>
        </w:rPr>
        <w:t xml:space="preserve">对网络实施7×24小时网管监控，设立专人服务省生态环境厅。要求具备省市县三级维护能力，服务团队人员应获得相应资格证书。</w:t>
      </w:r>
      <w:r/>
    </w:p>
    <w:p>
      <w:pPr>
        <w:pStyle w:val="903"/>
        <w:ind w:firstLine="480"/>
        <w:rPr>
          <w:color w:val="000000"/>
          <w:sz w:val="24"/>
        </w:rPr>
      </w:pPr>
      <w:r>
        <w:rPr>
          <w:color w:val="000000"/>
          <w:sz w:val="24"/>
        </w:rPr>
        <w:t xml:space="preserve">提供日常巡检、季度安全巡检测试、维护服务。</w:t>
      </w:r>
      <w:r/>
    </w:p>
    <w:p>
      <w:pPr>
        <w:pStyle w:val="903"/>
        <w:ind w:firstLine="420"/>
        <w:rPr>
          <w:color w:val="000000"/>
          <w:sz w:val="24"/>
        </w:rPr>
      </w:pPr>
      <w:r>
        <w:rPr>
          <w:rFonts w:hint="eastAsia" w:ascii="宋体" w:hAnsi="宋体" w:cs="宋体"/>
          <w:color w:val="000000"/>
          <w:lang w:val="zh-CN"/>
        </w:rPr>
        <w:t xml:space="preserve">★</w:t>
      </w:r>
      <w:r>
        <w:rPr>
          <w:color w:val="000000"/>
          <w:sz w:val="24"/>
        </w:rPr>
        <w:t xml:space="preserve">提供24小时统一故障申告服务电话，提供故障响应服务承诺。</w:t>
      </w:r>
      <w:r/>
    </w:p>
    <w:p>
      <w:pPr>
        <w:pStyle w:val="903"/>
        <w:ind w:firstLine="480"/>
        <w:rPr>
          <w:color w:val="000000"/>
          <w:sz w:val="24"/>
        </w:rPr>
      </w:pPr>
      <w:r>
        <w:rPr>
          <w:color w:val="000000"/>
          <w:sz w:val="24"/>
        </w:rPr>
        <w:t xml:space="preserve">提供项目相关服务内容的培训，培训服务覆盖采购人省市县三级团队人员，培训费用不低于合同总额。</w:t>
      </w:r>
      <w:r/>
    </w:p>
    <w:p>
      <w:pPr>
        <w:pStyle w:val="903"/>
        <w:ind w:firstLine="482"/>
        <w:rPr>
          <w:b/>
          <w:i/>
          <w:iCs/>
          <w:color w:val="000000"/>
          <w:sz w:val="24"/>
          <w:u w:val="single"/>
        </w:rPr>
      </w:pPr>
      <w:r>
        <w:rPr>
          <w:b/>
          <w:i/>
          <w:iCs/>
          <w:color w:val="000000"/>
          <w:sz w:val="24"/>
          <w:u w:val="single"/>
        </w:rPr>
        <w:t xml:space="preserve">因成交供应商原因(不含人为破坏和不可抗力影响)造成线路全阻断时间连续24小时以上，成交供应商延长半个月的该专线使用时间；超过48小时，投标人延长一个月该专线使用时间；专线阻断时间连续超过72小时，采购人有权在合同期满后终止协议。阻断时间的计算，以成交供应商接到采购人申告或成交供应商查出阻断的时间起至恢复通信业务时止（需投标人提供承诺函）。</w:t>
      </w:r>
      <w:r/>
    </w:p>
    <w:p>
      <w:pPr>
        <w:pStyle w:val="907"/>
        <w:numPr>
          <w:ilvl w:val="0"/>
          <w:numId w:val="10"/>
        </w:numPr>
        <w:spacing w:before="0" w:after="0" w:line="360" w:lineRule="auto"/>
        <w:rPr>
          <w:rFonts w:ascii="Times New Roman" w:hAnsi="Times New Roman"/>
          <w:color w:val="000000"/>
        </w:rPr>
      </w:pPr>
      <w:r>
        <w:rPr>
          <w:rFonts w:ascii="Times New Roman" w:hAnsi="Times New Roman"/>
          <w:color w:val="000000"/>
        </w:rPr>
        <w:t xml:space="preserve">其它要求</w:t>
      </w:r>
      <w:r/>
    </w:p>
    <w:p>
      <w:pPr>
        <w:pStyle w:val="908"/>
        <w:numPr>
          <w:ilvl w:val="0"/>
          <w:numId w:val="11"/>
        </w:numPr>
        <w:rPr>
          <w:rFonts w:ascii="Times New Roman"/>
        </w:rPr>
      </w:pPr>
      <w:r>
        <w:rPr>
          <w:rFonts w:ascii="Times New Roman"/>
        </w:rPr>
        <w:t xml:space="preserve">总体技术方案</w:t>
      </w:r>
      <w:r/>
    </w:p>
    <w:p>
      <w:pPr>
        <w:pStyle w:val="1025"/>
        <w:ind w:firstLine="480"/>
        <w:rPr>
          <w:rFonts w:ascii="Times New Roman" w:hAnsi="Times New Roman"/>
          <w:color w:val="000000"/>
        </w:rPr>
      </w:pPr>
      <w:r>
        <w:rPr>
          <w:rFonts w:ascii="Times New Roman" w:hAnsi="Times New Roman"/>
          <w:color w:val="000000"/>
        </w:rPr>
        <w:t xml:space="preserve">投标人应提供总体技术方案，方案须包含项目需求与现状分析业务网络拓扑结构设计、网络优化设计、IP地址规划等。</w:t>
      </w:r>
      <w:r>
        <w:rPr>
          <w:rFonts w:ascii="Times New Roman" w:hAnsi="Times New Roman"/>
          <w:bCs/>
          <w:color w:val="000000"/>
          <w:szCs w:val="24"/>
        </w:rPr>
        <w:t xml:space="preserve">整体解决方案应清晰直观展现本次项目建设全景，提供完善的技术方案确保项目安全稳定运行，方案应科学、合理、切实可行、针对性强、图文并茂，符合本项目建设需求。所有万兆光纤口、千兆光纤口均需配置对应的光模块。</w:t>
      </w:r>
      <w:r>
        <w:rPr>
          <w:rFonts w:ascii="Times New Roman" w:hAnsi="Times New Roman"/>
          <w:color w:val="000000"/>
        </w:rPr>
      </w:r>
      <w:r/>
    </w:p>
    <w:p>
      <w:pPr>
        <w:pStyle w:val="908"/>
        <w:numPr>
          <w:ilvl w:val="0"/>
          <w:numId w:val="11"/>
        </w:numPr>
        <w:rPr>
          <w:rFonts w:ascii="Times New Roman"/>
        </w:rPr>
      </w:pPr>
      <w:r>
        <w:rPr>
          <w:rFonts w:ascii="Times New Roman"/>
        </w:rPr>
        <w:t xml:space="preserve">网络安全设计方案</w:t>
      </w:r>
      <w:r/>
    </w:p>
    <w:p>
      <w:pPr>
        <w:pStyle w:val="1025"/>
        <w:ind w:firstLine="480"/>
        <w:rPr>
          <w:rFonts w:ascii="Times New Roman" w:hAnsi="Times New Roman"/>
          <w:color w:val="000000"/>
        </w:rPr>
      </w:pPr>
      <w:r>
        <w:rPr>
          <w:rFonts w:ascii="Times New Roman" w:hAnsi="Times New Roman"/>
          <w:color w:val="000000"/>
        </w:rPr>
        <w:t xml:space="preserve">投标人应提供网络安全设计方案，方案须包含整体网络安全架构、系统安全功能、方案、网络系统升级调优、网络安全管理、漏洞扫描、流量监控等，满足省市县三级组网、路由、QoS等服务需求，及时发现网络攻击流量、异常流量，确保专网稳定可靠安全运行。</w:t>
      </w:r>
      <w:r/>
    </w:p>
    <w:p>
      <w:pPr>
        <w:pStyle w:val="1025"/>
        <w:ind w:firstLine="480"/>
        <w:rPr>
          <w:rFonts w:ascii="Times New Roman" w:hAnsi="Times New Roman"/>
          <w:color w:val="000000"/>
        </w:rPr>
      </w:pPr>
      <w:r>
        <w:rPr>
          <w:rFonts w:ascii="Times New Roman" w:hAnsi="Times New Roman"/>
          <w:bCs/>
          <w:color w:val="000000"/>
          <w:szCs w:val="24"/>
        </w:rPr>
        <w:t xml:space="preserve">方案应科学、合理、切实可行、针对性强，确保实现网络升级改造的安全需求，确保安全接入网络。</w:t>
      </w:r>
      <w:r>
        <w:rPr>
          <w:rFonts w:ascii="Times New Roman" w:hAnsi="Times New Roman"/>
          <w:color w:val="000000"/>
        </w:rPr>
      </w:r>
      <w:r/>
    </w:p>
    <w:p>
      <w:pPr>
        <w:pStyle w:val="908"/>
        <w:numPr>
          <w:ilvl w:val="0"/>
          <w:numId w:val="11"/>
        </w:numPr>
        <w:rPr>
          <w:rFonts w:ascii="Times New Roman"/>
        </w:rPr>
      </w:pPr>
      <w:r>
        <w:rPr>
          <w:rFonts w:ascii="Times New Roman"/>
        </w:rPr>
        <w:t xml:space="preserve">项目实施方案</w:t>
      </w:r>
      <w:r/>
    </w:p>
    <w:p>
      <w:pPr>
        <w:pStyle w:val="1025"/>
        <w:ind w:firstLine="480"/>
        <w:rPr>
          <w:rFonts w:ascii="Times New Roman" w:hAnsi="Times New Roman"/>
          <w:color w:val="000000"/>
        </w:rPr>
      </w:pPr>
      <w:r>
        <w:rPr>
          <w:rFonts w:ascii="Times New Roman" w:hAnsi="Times New Roman"/>
          <w:color w:val="000000"/>
        </w:rPr>
        <w:t xml:space="preserve">投标人应提供项目实施方案，方案须包含项目工期计划、实施团队架构、实施内容、质量保障方案、风险控制措施等，确保按工期要求完成所有工作，并确保项目整体质量控制达到项目设计要求。</w:t>
      </w:r>
      <w:r/>
    </w:p>
    <w:p>
      <w:pPr>
        <w:pStyle w:val="1025"/>
        <w:ind w:firstLine="480"/>
        <w:rPr>
          <w:rFonts w:ascii="Times New Roman" w:hAnsi="Times New Roman"/>
          <w:color w:val="000000"/>
        </w:rPr>
      </w:pPr>
      <w:r>
        <w:rPr>
          <w:rFonts w:ascii="Times New Roman" w:hAnsi="Times New Roman"/>
          <w:color w:val="000000"/>
        </w:rPr>
        <w:t xml:space="preserve">投标人需承诺在中标后配合采购人进行项目试点实施，中标后10天内完成至少两个地市与省厅的网络升级改造试点工作，期间所需软硬件设备及辅材全部由投标人提供，</w:t>
      </w:r>
      <w:r>
        <w:rPr>
          <w:rFonts w:ascii="Times New Roman" w:hAnsi="Times New Roman"/>
          <w:color w:val="000000"/>
          <w:lang w:val="zh-CN"/>
        </w:rPr>
        <w:t xml:space="preserve">如测试结果与</w:t>
      </w:r>
      <w:r>
        <w:rPr>
          <w:rFonts w:ascii="Times New Roman" w:hAnsi="Times New Roman"/>
          <w:color w:val="000000"/>
        </w:rPr>
        <w:t xml:space="preserve">投标文件响应内容</w:t>
      </w:r>
      <w:r>
        <w:rPr>
          <w:rFonts w:ascii="Times New Roman" w:hAnsi="Times New Roman"/>
          <w:color w:val="000000"/>
          <w:lang w:val="zh-CN"/>
        </w:rPr>
        <w:t xml:space="preserve">不符，</w:t>
      </w:r>
      <w:r>
        <w:rPr>
          <w:rFonts w:ascii="Times New Roman" w:hAnsi="Times New Roman"/>
          <w:color w:val="000000"/>
        </w:rPr>
        <w:t xml:space="preserve">投标人</w:t>
      </w:r>
      <w:r>
        <w:rPr>
          <w:rFonts w:ascii="Times New Roman" w:hAnsi="Times New Roman"/>
          <w:color w:val="000000"/>
          <w:lang w:val="zh-CN"/>
        </w:rPr>
        <w:t xml:space="preserve">将按照政府采购有关规定承担法律责任</w:t>
      </w:r>
      <w:r>
        <w:rPr>
          <w:rFonts w:ascii="Times New Roman" w:hAnsi="Times New Roman"/>
          <w:color w:val="000000"/>
        </w:rPr>
        <w:t xml:space="preserve">。</w:t>
      </w:r>
      <w:r/>
    </w:p>
    <w:p>
      <w:pPr>
        <w:pStyle w:val="908"/>
        <w:numPr>
          <w:ilvl w:val="0"/>
          <w:numId w:val="11"/>
        </w:numPr>
        <w:rPr>
          <w:rFonts w:ascii="Times New Roman"/>
        </w:rPr>
      </w:pPr>
      <w:r>
        <w:rPr>
          <w:rFonts w:ascii="Times New Roman"/>
        </w:rPr>
        <w:t xml:space="preserve">线路割接方案</w:t>
      </w:r>
      <w:r/>
    </w:p>
    <w:p>
      <w:pPr>
        <w:pStyle w:val="1025"/>
        <w:ind w:firstLine="480"/>
        <w:rPr>
          <w:rFonts w:ascii="Times New Roman" w:hAnsi="Times New Roman"/>
          <w:color w:val="000000"/>
        </w:rPr>
      </w:pPr>
      <w:r>
        <w:rPr>
          <w:rFonts w:ascii="Times New Roman" w:hAnsi="Times New Roman"/>
          <w:color w:val="000000"/>
          <w:lang w:val="zh-CN"/>
        </w:rPr>
        <w:t xml:space="preserve">为保障业务和线路的平稳过渡，投标人应针对互联网专线宽带、互联网区运维应急通道、裸光纤接入制定符合项目需求的线路割接方案。割接安排及影响时间估算需真实、可行。投标人</w:t>
      </w:r>
      <w:r>
        <w:rPr>
          <w:rFonts w:ascii="Times New Roman" w:hAnsi="Times New Roman"/>
          <w:color w:val="000000"/>
        </w:rPr>
        <w:t xml:space="preserve">提供</w:t>
      </w:r>
      <w:r>
        <w:rPr>
          <w:rFonts w:ascii="Times New Roman" w:hAnsi="Times New Roman"/>
          <w:color w:val="000000"/>
          <w:lang w:val="zh-CN"/>
        </w:rPr>
        <w:t xml:space="preserve">影响时间</w:t>
      </w:r>
      <w:r>
        <w:rPr>
          <w:rFonts w:ascii="Times New Roman" w:hAnsi="Times New Roman"/>
          <w:color w:val="000000"/>
        </w:rPr>
        <w:t xml:space="preserve">承诺函。</w:t>
      </w:r>
      <w:r/>
    </w:p>
    <w:p>
      <w:pPr>
        <w:pStyle w:val="908"/>
        <w:numPr>
          <w:ilvl w:val="0"/>
          <w:numId w:val="11"/>
        </w:numPr>
        <w:rPr>
          <w:rFonts w:ascii="Times New Roman"/>
        </w:rPr>
      </w:pPr>
      <w:r>
        <w:rPr>
          <w:rFonts w:ascii="Times New Roman"/>
        </w:rPr>
        <w:t xml:space="preserve">售后服务及培训方案</w:t>
      </w:r>
      <w:r/>
    </w:p>
    <w:p>
      <w:pPr>
        <w:pStyle w:val="1025"/>
        <w:ind w:firstLine="480"/>
        <w:rPr>
          <w:rFonts w:ascii="Times New Roman" w:hAnsi="Times New Roman"/>
          <w:color w:val="000000"/>
          <w:lang w:val="zh-CN"/>
        </w:rPr>
      </w:pPr>
      <w:r>
        <w:rPr>
          <w:rFonts w:ascii="Times New Roman" w:hAnsi="Times New Roman"/>
          <w:color w:val="000000"/>
          <w:lang w:val="zh-CN"/>
        </w:rPr>
        <w:t xml:space="preserve">投标人提供维护服务保障体系和完整合理的服务方案，内容包含；服务机构、服务内容、响应时间、故障处理、恢复时效、人员力量、支撑保障等内容。</w:t>
      </w:r>
      <w:r/>
    </w:p>
    <w:p>
      <w:pPr>
        <w:pStyle w:val="1025"/>
        <w:ind w:firstLine="480"/>
        <w:rPr>
          <w:rFonts w:ascii="Times New Roman" w:hAnsi="Times New Roman"/>
          <w:color w:val="000000"/>
        </w:rPr>
      </w:pPr>
      <w:r>
        <w:rPr>
          <w:rFonts w:ascii="Times New Roman" w:hAnsi="Times New Roman"/>
          <w:color w:val="000000"/>
          <w:szCs w:val="24"/>
        </w:rPr>
        <w:t xml:space="preserve">投标人应根据项目需求，制定有针对性的培训方案，包括但不限于培训内容、培训形式、培训频次（每季度至少1次）、培训人数（每次不少于5人）、培训地点等内容，建立完善的反馈机制，确保团队能够始终保持高水平的运维能力。</w:t>
      </w:r>
      <w:r>
        <w:rPr>
          <w:rFonts w:ascii="Times New Roman" w:hAnsi="Times New Roman"/>
          <w:color w:val="000000"/>
        </w:rPr>
      </w:r>
      <w:r/>
    </w:p>
    <w:p>
      <w:pPr>
        <w:pStyle w:val="1025"/>
        <w:ind w:firstLine="480"/>
        <w:rPr>
          <w:rFonts w:ascii="Times New Roman" w:hAnsi="Times New Roman"/>
          <w:color w:val="000000"/>
        </w:rPr>
      </w:pPr>
      <w:r>
        <w:rPr>
          <w:rFonts w:ascii="Times New Roman" w:hAnsi="Times New Roman"/>
          <w:color w:val="000000"/>
        </w:rPr>
        <w:t xml:space="preserve">售后运行维护服务内容：</w:t>
      </w:r>
      <w:r/>
    </w:p>
    <w:p>
      <w:pPr>
        <w:pStyle w:val="1025"/>
        <w:ind w:firstLine="482"/>
        <w:rPr>
          <w:rFonts w:ascii="Times New Roman" w:hAnsi="Times New Roman"/>
          <w:color w:val="000000"/>
        </w:rPr>
      </w:pPr>
      <w:r>
        <w:rPr>
          <w:rFonts w:ascii="Times New Roman" w:hAnsi="Times New Roman"/>
          <w:b/>
          <w:i/>
          <w:color w:val="000000"/>
          <w:u w:val="single"/>
        </w:rPr>
        <w:t xml:space="preserve">投标人在本项目使用的软硬件均需提供三年售后质保服务，并提供运行维护保障服务，投标人应提供相应期限的服务承诺函。</w:t>
      </w:r>
      <w:r>
        <w:rPr>
          <w:rFonts w:ascii="Times New Roman" w:hAnsi="Times New Roman"/>
          <w:color w:val="000000"/>
        </w:rPr>
        <w:t xml:space="preserve">通过对软硬件系统环境定期进行规范化的预防性维护，提高系统的可靠性、稳定性及可使用率，充分排查系统隐患，最大限度减小系统的非计划停机可能性；对突发故障提供及时且高效的技术支持和解决方案，减低故障对系统的影响。</w:t>
      </w:r>
      <w:r/>
    </w:p>
    <w:p>
      <w:pPr>
        <w:pStyle w:val="1025"/>
        <w:ind w:firstLine="480"/>
        <w:rPr>
          <w:rFonts w:ascii="Times New Roman" w:hAnsi="Times New Roman"/>
          <w:color w:val="000000"/>
        </w:rPr>
      </w:pPr>
      <w:r>
        <w:rPr>
          <w:rFonts w:ascii="Times New Roman" w:hAnsi="Times New Roman"/>
          <w:color w:val="000000"/>
        </w:rPr>
        <w:t xml:space="preserve">服务响应时间要求：</w:t>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7"/>
        <w:gridCol w:w="1517"/>
        <w:gridCol w:w="4297"/>
        <w:gridCol w:w="2214"/>
      </w:tblGrid>
      <w:tr>
        <w:trPr>
          <w:trHeight w:val="57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903"/>
              <w:jc w:val="center"/>
              <w:rPr>
                <w:color w:val="000000"/>
              </w:rPr>
            </w:pPr>
            <w:r>
              <w:rPr>
                <w:color w:val="000000"/>
              </w:rPr>
              <w:t xml:space="preserve">序号</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903"/>
              <w:jc w:val="center"/>
              <w:rPr>
                <w:color w:val="000000"/>
              </w:rPr>
            </w:pPr>
            <w:r>
              <w:rPr>
                <w:color w:val="000000"/>
              </w:rPr>
              <w:t xml:space="preserve">响应级别</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3"/>
              <w:jc w:val="center"/>
              <w:rPr>
                <w:color w:val="000000"/>
              </w:rPr>
            </w:pPr>
            <w:r>
              <w:rPr>
                <w:color w:val="000000"/>
              </w:rPr>
              <w:t xml:space="preserve">问题描述</w:t>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3"/>
              <w:jc w:val="center"/>
              <w:rPr>
                <w:color w:val="000000"/>
              </w:rPr>
            </w:pPr>
            <w:r>
              <w:rPr>
                <w:color w:val="000000"/>
              </w:rPr>
              <w:t xml:space="preserve">响应时间</w:t>
            </w:r>
            <w:r/>
          </w:p>
        </w:tc>
      </w:tr>
      <w:tr>
        <w:trPr>
          <w:trHeight w:val="57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903"/>
              <w:jc w:val="center"/>
              <w:rPr>
                <w:color w:val="000000"/>
                <w:lang w:val="zh-CN"/>
              </w:rPr>
            </w:pPr>
            <w:r>
              <w:rPr>
                <w:color w:val="000000"/>
                <w:lang w:val="zh-CN"/>
              </w:rPr>
              <w:t xml:space="preserve">1</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903"/>
              <w:jc w:val="center"/>
              <w:rPr>
                <w:color w:val="000000"/>
                <w:lang w:val="zh-CN"/>
              </w:rPr>
            </w:pPr>
            <w:r>
              <w:rPr>
                <w:color w:val="000000"/>
                <w:lang w:val="zh-CN"/>
              </w:rPr>
              <w:t xml:space="preserve">紧急</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3"/>
              <w:jc w:val="center"/>
              <w:rPr>
                <w:color w:val="000000"/>
                <w:lang w:val="zh-CN"/>
              </w:rPr>
            </w:pPr>
            <w:r>
              <w:rPr>
                <w:color w:val="000000"/>
                <w:lang w:val="zh-CN"/>
              </w:rPr>
              <w:t xml:space="preserve">核心业务功能及组件不可用或全部瘫痪的严重故障类问题</w:t>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3"/>
              <w:jc w:val="center"/>
              <w:rPr>
                <w:color w:val="000000"/>
                <w:lang w:val="zh-CN"/>
              </w:rPr>
            </w:pPr>
            <w:r>
              <w:rPr>
                <w:color w:val="000000"/>
                <w:lang w:val="zh-CN"/>
              </w:rPr>
              <w:t xml:space="preserve">15分钟内进行响应</w:t>
            </w:r>
            <w:r/>
          </w:p>
        </w:tc>
      </w:tr>
      <w:tr>
        <w:trPr>
          <w:trHeight w:val="502"/>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903"/>
              <w:jc w:val="center"/>
              <w:rPr>
                <w:color w:val="000000"/>
                <w:lang w:val="zh-CN"/>
              </w:rPr>
            </w:pPr>
            <w:r>
              <w:rPr>
                <w:color w:val="000000"/>
                <w:lang w:val="zh-CN"/>
              </w:rPr>
              <w:t xml:space="preserve">2</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903"/>
              <w:jc w:val="center"/>
              <w:rPr>
                <w:color w:val="000000"/>
                <w:lang w:val="zh-CN"/>
              </w:rPr>
            </w:pPr>
            <w:r>
              <w:rPr>
                <w:color w:val="000000"/>
                <w:lang w:val="zh-CN"/>
              </w:rPr>
              <w:t xml:space="preserve">高</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3"/>
              <w:jc w:val="center"/>
              <w:rPr>
                <w:color w:val="000000"/>
                <w:lang w:val="zh-CN"/>
              </w:rPr>
            </w:pPr>
            <w:r>
              <w:rPr>
                <w:color w:val="000000"/>
                <w:lang w:val="zh-CN"/>
              </w:rPr>
              <w:t xml:space="preserve">部分业务功能或组件受到影响，或业务软件时断时续等故障类问题</w:t>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3"/>
              <w:jc w:val="center"/>
              <w:rPr>
                <w:color w:val="000000"/>
                <w:lang w:val="zh-CN"/>
              </w:rPr>
            </w:pPr>
            <w:r>
              <w:rPr>
                <w:color w:val="000000"/>
                <w:lang w:val="zh-CN"/>
              </w:rPr>
              <w:t xml:space="preserve">30分钟内进行响应</w:t>
            </w:r>
            <w:r/>
          </w:p>
        </w:tc>
      </w:tr>
      <w:tr>
        <w:trPr>
          <w:trHeight w:val="476"/>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903"/>
              <w:jc w:val="center"/>
              <w:rPr>
                <w:color w:val="000000"/>
                <w:lang w:val="zh-CN"/>
              </w:rPr>
            </w:pPr>
            <w:r>
              <w:rPr>
                <w:color w:val="000000"/>
                <w:lang w:val="zh-CN"/>
              </w:rPr>
              <w:t xml:space="preserve">3</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903"/>
              <w:jc w:val="center"/>
              <w:rPr>
                <w:color w:val="000000"/>
                <w:lang w:val="zh-CN"/>
              </w:rPr>
            </w:pPr>
            <w:r>
              <w:rPr>
                <w:color w:val="000000"/>
                <w:lang w:val="zh-CN"/>
              </w:rPr>
              <w:t xml:space="preserve">中</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3"/>
              <w:jc w:val="center"/>
              <w:rPr>
                <w:color w:val="000000"/>
                <w:lang w:val="zh-CN"/>
              </w:rPr>
            </w:pPr>
            <w:r>
              <w:rPr>
                <w:color w:val="000000"/>
                <w:lang w:val="zh-CN"/>
              </w:rPr>
              <w:t xml:space="preserve">单一业务简单故障方面问题</w:t>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3"/>
              <w:jc w:val="center"/>
              <w:rPr>
                <w:color w:val="000000"/>
                <w:lang w:val="zh-CN"/>
              </w:rPr>
            </w:pPr>
            <w:r>
              <w:rPr>
                <w:color w:val="000000"/>
              </w:rPr>
              <w:t xml:space="preserve">2</w:t>
            </w:r>
            <w:r>
              <w:rPr>
                <w:color w:val="000000"/>
                <w:lang w:val="zh-CN"/>
              </w:rPr>
              <w:t xml:space="preserve">小时内进行响应</w:t>
            </w:r>
            <w:r/>
          </w:p>
        </w:tc>
      </w:tr>
      <w:tr>
        <w:trPr>
          <w:trHeight w:val="548"/>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903"/>
              <w:jc w:val="center"/>
              <w:rPr>
                <w:color w:val="000000"/>
                <w:lang w:val="zh-CN"/>
              </w:rPr>
            </w:pPr>
            <w:r>
              <w:rPr>
                <w:color w:val="000000"/>
                <w:lang w:val="zh-CN"/>
              </w:rPr>
              <w:t xml:space="preserve">4</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903"/>
              <w:jc w:val="center"/>
              <w:rPr>
                <w:color w:val="000000"/>
                <w:lang w:val="zh-CN"/>
              </w:rPr>
            </w:pPr>
            <w:r>
              <w:rPr>
                <w:color w:val="000000"/>
                <w:lang w:val="zh-CN"/>
              </w:rPr>
              <w:t xml:space="preserve">低</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3"/>
              <w:jc w:val="center"/>
              <w:rPr>
                <w:color w:val="000000"/>
                <w:lang w:val="zh-CN"/>
              </w:rPr>
            </w:pPr>
            <w:r>
              <w:rPr>
                <w:color w:val="000000"/>
                <w:lang w:val="zh-CN"/>
              </w:rPr>
              <w:t xml:space="preserve">针对于业务使用方法、产品需求等一般技术咨询类问题</w:t>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3"/>
              <w:jc w:val="center"/>
              <w:rPr>
                <w:color w:val="000000"/>
                <w:lang w:val="zh-CN"/>
              </w:rPr>
            </w:pPr>
            <w:r>
              <w:rPr>
                <w:color w:val="000000"/>
              </w:rPr>
              <w:t xml:space="preserve">4</w:t>
            </w:r>
            <w:r>
              <w:rPr>
                <w:color w:val="000000"/>
                <w:lang w:val="zh-CN"/>
              </w:rPr>
              <w:t xml:space="preserve">小时内进行响应</w:t>
            </w:r>
            <w:r/>
          </w:p>
        </w:tc>
      </w:tr>
    </w:tbl>
    <w:p>
      <w:pPr>
        <w:pStyle w:val="1025"/>
        <w:ind w:firstLine="480"/>
        <w:rPr>
          <w:rFonts w:ascii="Times New Roman" w:hAnsi="Times New Roman"/>
          <w:color w:val="000000"/>
        </w:rPr>
      </w:pPr>
      <w:r>
        <w:rPr>
          <w:rFonts w:ascii="Times New Roman" w:hAnsi="Times New Roman"/>
          <w:color w:val="000000"/>
        </w:rPr>
      </w:r>
      <w:r/>
    </w:p>
    <w:p>
      <w:pPr>
        <w:pStyle w:val="1025"/>
        <w:ind w:firstLine="480"/>
        <w:rPr>
          <w:rFonts w:ascii="Times New Roman" w:hAnsi="Times New Roman"/>
          <w:color w:val="000000"/>
        </w:rPr>
      </w:pPr>
      <w:r>
        <w:rPr>
          <w:rFonts w:ascii="Times New Roman" w:hAnsi="Times New Roman"/>
          <w:color w:val="000000"/>
        </w:rPr>
        <w:t xml:space="preserve">服务质量考核：</w:t>
      </w:r>
      <w:r/>
    </w:p>
    <w:p>
      <w:pPr>
        <w:pStyle w:val="1025"/>
        <w:ind w:firstLine="480"/>
        <w:rPr>
          <w:rFonts w:ascii="Times New Roman" w:hAnsi="Times New Roman"/>
          <w:color w:val="000000"/>
        </w:rPr>
      </w:pPr>
      <w:r>
        <w:rPr>
          <w:rFonts w:ascii="Times New Roman" w:hAnsi="Times New Roman"/>
          <w:color w:val="000000"/>
        </w:rPr>
        <w:t xml:space="preserve">为有效规范中标人所提供技术服务的内容及质量，采购人将对中标人的技术服务进行管理及考核，并作为服务验收和付款的依据。中标人须设立服务质量监督员并定期（至少每季度一次）向采购人汇报合同要求范围内的技术服务（包含常规巡检、故障处理、备件更换等）执行情况及质量状况，针对采购人提出的意见及建议提出服务质量整改措施并跟踪落实。</w:t>
      </w:r>
      <w:r/>
    </w:p>
    <w:p>
      <w:pPr>
        <w:pStyle w:val="1025"/>
        <w:ind w:firstLine="480"/>
        <w:rPr>
          <w:rFonts w:ascii="Times New Roman" w:hAnsi="Times New Roman"/>
          <w:color w:val="000000"/>
        </w:rPr>
      </w:pPr>
      <w:r>
        <w:rPr>
          <w:rFonts w:ascii="Times New Roman" w:hAnsi="Times New Roman"/>
          <w:color w:val="000000"/>
        </w:rPr>
        <w:t xml:space="preserve">如因中标人技术能力导致设备故障引起采购人业务网络服务中断，采购人将视故障的影响程度，进行服务考核和处理，若导致重大故障或引发严重后果，采购人有权利要求中标人赔偿因此造成的相关损失。</w:t>
      </w:r>
      <w:r/>
    </w:p>
    <w:p>
      <w:pPr>
        <w:pStyle w:val="908"/>
        <w:numPr>
          <w:ilvl w:val="0"/>
          <w:numId w:val="11"/>
        </w:numPr>
        <w:rPr>
          <w:rFonts w:ascii="Times New Roman"/>
        </w:rPr>
      </w:pPr>
      <w:r>
        <w:rPr>
          <w:rFonts w:ascii="Times New Roman"/>
        </w:rPr>
        <w:t xml:space="preserve">应急保障方案</w:t>
      </w:r>
      <w:r/>
    </w:p>
    <w:p>
      <w:pPr>
        <w:pStyle w:val="1025"/>
        <w:ind w:firstLine="480"/>
        <w:rPr>
          <w:rFonts w:ascii="Times New Roman" w:hAnsi="Times New Roman"/>
          <w:color w:val="000000"/>
        </w:rPr>
      </w:pPr>
      <w:r>
        <w:rPr>
          <w:rFonts w:ascii="Times New Roman" w:hAnsi="Times New Roman"/>
          <w:color w:val="000000"/>
        </w:rPr>
        <w:t xml:space="preserve">投标人应结合本项目特点，提供对应的应急响应方案，包括但不限于组织架构、响应时间、响应流程、故障处置等内容，以及针对软件系统故障、硬件系统故障、网络故障、网络攻击、信息破坏等事件的专项响应方案。</w:t>
      </w:r>
      <w:r/>
    </w:p>
    <w:p>
      <w:pPr>
        <w:pStyle w:val="908"/>
        <w:numPr>
          <w:ilvl w:val="0"/>
          <w:numId w:val="11"/>
        </w:numPr>
        <w:rPr>
          <w:rFonts w:ascii="Times New Roman"/>
        </w:rPr>
      </w:pPr>
      <w:r>
        <w:rPr>
          <w:rFonts w:ascii="Times New Roman"/>
        </w:rPr>
        <w:t xml:space="preserve">本地化服务能力</w:t>
      </w:r>
      <w:r/>
    </w:p>
    <w:p>
      <w:pPr>
        <w:pStyle w:val="1025"/>
        <w:ind w:firstLine="480"/>
        <w:rPr>
          <w:rFonts w:ascii="Times New Roman" w:hAnsi="Times New Roman"/>
          <w:color w:val="000000"/>
        </w:rPr>
      </w:pPr>
      <w:r>
        <w:rPr>
          <w:rFonts w:ascii="Times New Roman" w:hAnsi="Times New Roman"/>
          <w:color w:val="000000"/>
        </w:rPr>
        <w:t xml:space="preserve">投标人应具备省、市、县三级本地化服务能力，在全省13个地市具有本地服务机构或承诺中标后成立本地化服务团队。</w:t>
      </w:r>
      <w:r/>
    </w:p>
    <w:p>
      <w:pPr>
        <w:pStyle w:val="1025"/>
        <w:ind w:firstLine="480"/>
        <w:rPr>
          <w:rFonts w:ascii="Times New Roman" w:hAnsi="Times New Roman"/>
          <w:color w:val="000000"/>
        </w:rPr>
      </w:pPr>
      <w:r>
        <w:rPr>
          <w:rFonts w:ascii="Times New Roman" w:hAnsi="Times New Roman"/>
          <w:color w:val="000000"/>
        </w:rPr>
        <w:t xml:space="preserve">投标人中标后需提供项目整体保障和技术支持服务，确保本项目范围内的硬件和软件能够正常使用。在出现故障时，按响应级别在规定时间内响应，必要时应派技术人员及时到现场处理问题，遇到重大事件应无条件响应。</w:t>
      </w:r>
      <w:r/>
    </w:p>
    <w:p>
      <w:pPr>
        <w:pStyle w:val="1025"/>
        <w:ind w:firstLine="480"/>
        <w:rPr>
          <w:rFonts w:ascii="Times New Roman" w:hAnsi="Times New Roman"/>
          <w:color w:val="000000"/>
        </w:rPr>
      </w:pPr>
      <w:r/>
      <w:bookmarkStart w:id="232" w:name="OLE_LINK33"/>
      <w:r/>
      <w:bookmarkStart w:id="233" w:name="OLE_LINK34"/>
      <w:r>
        <w:rPr>
          <w:rFonts w:ascii="Times New Roman" w:hAnsi="Times New Roman"/>
          <w:color w:val="000000"/>
        </w:rPr>
        <w:t xml:space="preserve">项目服务期间，投标人应根据项目需求，提供笔记本电脑（不少于1台）和手持设备（不少于8台），用于项目联网调试及兼容性、稳定性测试。专用笔记本配置酷睿 Ultra 7同等或以上配置CPU，内存&gt;=32G，SSD硬盘&gt;=1T；手持设备根据项目需求配置安卓系统（提供承诺函）。</w:t>
      </w:r>
      <w:r/>
    </w:p>
    <w:p>
      <w:pPr>
        <w:pStyle w:val="908"/>
        <w:numPr>
          <w:ilvl w:val="0"/>
          <w:numId w:val="11"/>
        </w:numPr>
        <w:rPr>
          <w:rFonts w:ascii="Times New Roman"/>
        </w:rPr>
      </w:pPr>
      <w:r/>
      <w:bookmarkEnd w:id="232"/>
      <w:r/>
      <w:bookmarkEnd w:id="233"/>
      <w:r>
        <w:rPr>
          <w:rFonts w:ascii="Times New Roman"/>
        </w:rPr>
        <w:t xml:space="preserve">项目服务团队</w:t>
      </w:r>
      <w:r/>
    </w:p>
    <w:p>
      <w:pPr>
        <w:pStyle w:val="1025"/>
        <w:ind w:firstLine="480"/>
        <w:rPr>
          <w:rFonts w:ascii="Times New Roman" w:hAnsi="Times New Roman"/>
          <w:color w:val="000000"/>
        </w:rPr>
      </w:pPr>
      <w:r>
        <w:rPr>
          <w:rFonts w:ascii="Times New Roman" w:hAnsi="Times New Roman"/>
          <w:color w:val="000000"/>
        </w:rPr>
        <w:t xml:space="preserve">为满足本项目建设与服务要求，投标人提供的项目服务团队应具备足够的专业技术能力，具有完善的组织架构，至少包括一名项目经理、以及不少于5人的运维团队成员。</w:t>
      </w:r>
      <w:r/>
    </w:p>
    <w:p>
      <w:pPr>
        <w:pStyle w:val="1025"/>
        <w:ind w:firstLine="480"/>
        <w:rPr>
          <w:rFonts w:ascii="Times New Roman" w:hAnsi="Times New Roman"/>
          <w:color w:val="000000"/>
          <w:lang w:val="zh-CN"/>
        </w:rPr>
      </w:pPr>
      <w:r>
        <w:rPr>
          <w:rFonts w:ascii="Times New Roman" w:hAnsi="Times New Roman"/>
          <w:color w:val="000000"/>
          <w:lang w:val="zh-CN"/>
        </w:rPr>
        <w:t xml:space="preserve">项目经理具备高级工程师证书（通信工程或电子信息类）、ITSS IT服务项目经理证书、一级建造师（通信与广电工程）、网络安全能力认证证书CCSC证书。</w:t>
      </w:r>
      <w:r/>
    </w:p>
    <w:p>
      <w:pPr>
        <w:pStyle w:val="1025"/>
        <w:ind w:firstLine="480"/>
        <w:rPr>
          <w:rFonts w:ascii="Times New Roman" w:hAnsi="Times New Roman"/>
          <w:color w:val="000000"/>
          <w:lang w:val="zh-CN"/>
        </w:rPr>
      </w:pPr>
      <w:r>
        <w:rPr>
          <w:rFonts w:ascii="Times New Roman" w:hAnsi="Times New Roman"/>
          <w:color w:val="000000"/>
          <w:lang w:val="zh-CN"/>
        </w:rPr>
        <w:t xml:space="preserve">技术负责人具备高级工程师证书（电子信息类）、信息系统项目管理师证书、系统规划与管理师证书、注册信息安全管理人员（CISP-CISO）证书。</w:t>
      </w:r>
      <w:r/>
    </w:p>
    <w:p>
      <w:pPr>
        <w:pStyle w:val="1025"/>
        <w:ind w:firstLine="480"/>
        <w:rPr>
          <w:rFonts w:ascii="Times New Roman" w:hAnsi="Times New Roman"/>
          <w:color w:val="000000"/>
          <w:lang w:val="zh-CN"/>
        </w:rPr>
      </w:pPr>
      <w:r>
        <w:rPr>
          <w:rFonts w:ascii="Times New Roman" w:hAnsi="Times New Roman"/>
          <w:color w:val="000000"/>
          <w:lang w:val="zh-CN"/>
        </w:rPr>
        <w:t xml:space="preserve">安全负责人，安全负责人具备高级工程师证书（电子信息工程类）、信息系统项目管理师证书、ITSS IT服务工程师证书、注册信息安全管理人员（CISP-CISO）证书。</w:t>
      </w:r>
      <w:r/>
    </w:p>
    <w:p>
      <w:pPr>
        <w:pStyle w:val="1025"/>
        <w:ind w:firstLine="480"/>
        <w:rPr>
          <w:rFonts w:ascii="Times New Roman" w:hAnsi="Times New Roman"/>
          <w:color w:val="000000"/>
        </w:rPr>
      </w:pPr>
      <w:r>
        <w:rPr>
          <w:rFonts w:ascii="Times New Roman" w:hAnsi="Times New Roman"/>
          <w:color w:val="000000"/>
          <w:lang w:val="zh-CN"/>
        </w:rPr>
        <w:t xml:space="preserve">团队成员中有注册信息安全工程师CISP认证证书、高级网络规划</w:t>
      </w:r>
      <w:r>
        <w:rPr>
          <w:rFonts w:ascii="Times New Roman" w:hAnsi="Times New Roman"/>
          <w:color w:val="000000"/>
        </w:rPr>
        <w:t xml:space="preserve">设计</w:t>
      </w:r>
      <w:r>
        <w:rPr>
          <w:rFonts w:ascii="Times New Roman" w:hAnsi="Times New Roman"/>
          <w:color w:val="000000"/>
          <w:lang w:val="zh-CN"/>
        </w:rPr>
        <w:t xml:space="preserve">师、信息安全保障人员认证证书CISAW</w:t>
      </w:r>
      <w:r>
        <w:rPr>
          <w:rFonts w:ascii="Times New Roman" w:hAnsi="Times New Roman"/>
          <w:color w:val="000000"/>
        </w:rPr>
        <w:t xml:space="preserve">（安全运维或应急服务）、注册信息系统安全专家（CISSP）</w:t>
      </w:r>
      <w:r>
        <w:rPr>
          <w:rFonts w:ascii="Times New Roman" w:hAnsi="Times New Roman"/>
          <w:color w:val="000000"/>
          <w:lang w:val="zh-CN"/>
        </w:rPr>
        <w:t xml:space="preserve">证书等项目相关的资质认证证书。</w:t>
      </w:r>
      <w:r>
        <w:rPr>
          <w:rFonts w:ascii="Times New Roman" w:hAnsi="Times New Roman"/>
          <w:color w:val="000000"/>
        </w:rPr>
      </w:r>
      <w:r/>
    </w:p>
    <w:p>
      <w:pPr>
        <w:pStyle w:val="1025"/>
        <w:ind w:firstLine="480"/>
        <w:rPr>
          <w:rFonts w:ascii="Times New Roman" w:hAnsi="Times New Roman"/>
          <w:color w:val="000000"/>
        </w:rPr>
      </w:pPr>
      <w:r>
        <w:rPr>
          <w:rFonts w:ascii="Times New Roman" w:hAnsi="Times New Roman"/>
          <w:color w:val="000000"/>
        </w:rPr>
        <w:t xml:space="preserve">投标人需提供有效证书复印件及投标人为其缴纳的近三个月任意一个月的社保证明材料。</w:t>
      </w:r>
      <w:r/>
    </w:p>
    <w:p>
      <w:pPr>
        <w:pStyle w:val="908"/>
        <w:numPr>
          <w:ilvl w:val="0"/>
          <w:numId w:val="11"/>
        </w:numPr>
        <w:rPr>
          <w:rFonts w:ascii="Times New Roman"/>
        </w:rPr>
      </w:pPr>
      <w:r>
        <w:rPr>
          <w:rFonts w:ascii="Times New Roman"/>
        </w:rPr>
        <w:t xml:space="preserve">投标人履约能力</w:t>
      </w:r>
      <w:r/>
    </w:p>
    <w:p>
      <w:pPr>
        <w:pStyle w:val="918"/>
        <w:rPr>
          <w:color w:val="000000"/>
          <w:sz w:val="24"/>
        </w:rPr>
      </w:pPr>
      <w:r>
        <w:rPr>
          <w:color w:val="000000"/>
          <w:sz w:val="24"/>
        </w:rPr>
        <w:t xml:space="preserve">投标人具有国家认证认可监督管理委员会认可的机构颁发的有效期内的ISO9001质量管理体系认证、ISO20000信息技术服务管理体系认证、ISO27001信息安全管理体系认证。投标人具有GB/T 30146-2023业务连续性管理体系认证证书、GB/T 37228-2025应急预案管理体系认证证书、GB/T 35966-2018 高技术质量服务认证证书。提供最新的中国互联网信息中心CNNIC发布的统计报告页面截图证明。</w:t>
      </w:r>
      <w:r/>
    </w:p>
    <w:p>
      <w:pPr>
        <w:pStyle w:val="903"/>
        <w:ind w:firstLine="480"/>
        <w:spacing w:line="360" w:lineRule="auto"/>
        <w:rPr>
          <w:color w:val="000000"/>
          <w:sz w:val="24"/>
        </w:rPr>
      </w:pPr>
      <w:r>
        <w:rPr>
          <w:color w:val="000000"/>
          <w:sz w:val="24"/>
        </w:rPr>
        <w:t xml:space="preserve">投标人具备自2023年1月1日以来（以合同签订日期为准）的同时具有视频监控和网络线路租用的项目案例。（提供有效合同复印件并加盖投标人公章）</w:t>
      </w:r>
      <w:r/>
    </w:p>
    <w:p>
      <w:pPr>
        <w:pStyle w:val="903"/>
        <w:ind w:firstLine="480"/>
        <w:spacing w:line="360" w:lineRule="auto"/>
        <w:rPr>
          <w:color w:val="000000"/>
          <w:sz w:val="24"/>
          <w:lang w:val="zh-CN"/>
        </w:rPr>
      </w:pPr>
      <w:r>
        <w:rPr>
          <w:color w:val="000000"/>
          <w:sz w:val="24"/>
          <w:lang w:val="zh-CN"/>
        </w:rPr>
        <w:t xml:space="preserve">投标人具有</w:t>
      </w:r>
      <w:r>
        <w:rPr>
          <w:color w:val="000000"/>
          <w:sz w:val="24"/>
        </w:rPr>
        <w:t xml:space="preserve">相关</w:t>
      </w:r>
      <w:r>
        <w:rPr>
          <w:color w:val="000000"/>
          <w:sz w:val="24"/>
          <w:lang w:val="zh-CN"/>
        </w:rPr>
        <w:t xml:space="preserve">软件著作权证书，证书名包含“网管接口监控”“光网络故障定位”“宽带线路检测”“线路维护可视化”</w:t>
      </w:r>
      <w:r>
        <w:rPr>
          <w:color w:val="000000"/>
          <w:sz w:val="24"/>
        </w:rPr>
        <w:t xml:space="preserve">等</w:t>
      </w:r>
      <w:r>
        <w:rPr>
          <w:color w:val="000000"/>
          <w:sz w:val="24"/>
          <w:lang w:val="zh-CN"/>
        </w:rPr>
        <w:t xml:space="preserve">。</w:t>
      </w:r>
      <w:r/>
    </w:p>
    <w:p>
      <w:pPr>
        <w:pStyle w:val="1044"/>
        <w:ind w:firstLine="482"/>
        <w:spacing w:before="145" w:after="145"/>
        <w:rPr>
          <w:rFonts w:ascii="Times New Roman" w:hAnsi="Times New Roman"/>
          <w:b/>
          <w:color w:val="000000"/>
          <w:sz w:val="32"/>
          <w:szCs w:val="32"/>
        </w:rPr>
        <w:outlineLvl w:val="1"/>
      </w:pPr>
      <w:r>
        <w:rPr>
          <w:rFonts w:ascii="Times New Roman" w:hAnsi="Times New Roman"/>
          <w:b/>
          <w:color w:val="000000"/>
          <w:sz w:val="32"/>
          <w:szCs w:val="32"/>
        </w:rPr>
        <w:t xml:space="preserve">五、商务要求</w:t>
      </w:r>
      <w:r/>
    </w:p>
    <w:p>
      <w:pPr>
        <w:pStyle w:val="1025"/>
        <w:numPr>
          <w:ilvl w:val="0"/>
          <w:numId w:val="12"/>
        </w:numPr>
        <w:ind w:firstLine="480"/>
        <w:rPr>
          <w:rFonts w:ascii="Times New Roman" w:hAnsi="Times New Roman"/>
          <w:color w:val="000000"/>
        </w:rPr>
      </w:pPr>
      <w:r>
        <w:rPr>
          <w:rFonts w:ascii="Times New Roman" w:hAnsi="Times New Roman"/>
          <w:color w:val="000000"/>
        </w:rPr>
        <w:t xml:space="preserve">项目服务期</w:t>
      </w:r>
      <w:r/>
    </w:p>
    <w:p>
      <w:pPr>
        <w:pStyle w:val="1025"/>
        <w:ind w:firstLine="480"/>
        <w:rPr>
          <w:rFonts w:ascii="Times New Roman" w:hAnsi="Times New Roman"/>
          <w:color w:val="000000"/>
        </w:rPr>
      </w:pPr>
      <w:r>
        <w:rPr>
          <w:rFonts w:ascii="Times New Roman" w:hAnsi="Times New Roman"/>
          <w:color w:val="000000"/>
        </w:rPr>
        <w:t xml:space="preserve">服务期三年</w:t>
      </w:r>
      <w:r>
        <w:rPr>
          <w:rFonts w:ascii="Times New Roman" w:hAnsi="Times New Roman"/>
          <w:color w:val="000000"/>
          <w:szCs w:val="24"/>
        </w:rPr>
        <w:t xml:space="preserve">，合同一年一签，除非任何一方在当年服务期限届满前九十日书面通知另一方不再续展，否则将在服务期限内续展一年，最长不超过三年。</w:t>
      </w:r>
      <w:r>
        <w:rPr>
          <w:rFonts w:ascii="Times New Roman" w:hAnsi="Times New Roman"/>
          <w:color w:val="000000"/>
        </w:rPr>
      </w:r>
      <w:r/>
    </w:p>
    <w:p>
      <w:pPr>
        <w:pStyle w:val="1025"/>
        <w:numPr>
          <w:ilvl w:val="0"/>
          <w:numId w:val="12"/>
        </w:numPr>
        <w:ind w:firstLine="480"/>
        <w:rPr>
          <w:rFonts w:ascii="Times New Roman" w:hAnsi="Times New Roman"/>
          <w:color w:val="000000"/>
        </w:rPr>
      </w:pPr>
      <w:r>
        <w:rPr>
          <w:rFonts w:ascii="Times New Roman" w:hAnsi="Times New Roman"/>
          <w:color w:val="000000"/>
        </w:rPr>
        <w:t xml:space="preserve">工期要求</w:t>
      </w:r>
      <w:r/>
    </w:p>
    <w:p>
      <w:pPr>
        <w:pStyle w:val="1025"/>
        <w:ind w:firstLine="482"/>
        <w:rPr>
          <w:rFonts w:ascii="Times New Roman" w:hAnsi="Times New Roman"/>
          <w:b/>
          <w:color w:val="000000"/>
        </w:rPr>
      </w:pPr>
      <w:r>
        <w:rPr>
          <w:rFonts w:ascii="Times New Roman" w:hAnsi="Times New Roman"/>
          <w:b/>
          <w:i/>
          <w:iCs/>
          <w:color w:val="000000"/>
          <w:u w:val="single"/>
        </w:rPr>
        <w:t xml:space="preserve">投标人需承诺在合同签订后15个自然日内完成所有网络部署、软硬件的集成、系统割接与调试，实现整体项目正式运营。合同签订后15个自然日后，招标人将不再续签原有网络和业务专网租用等服务，如投标人未能按时完成本项目建设并提供运营服务，投标人需按照招标人现有使用需求，由投标人向原软硬件和业务专网等服务提供方支付租用费，直至本项目运营服务正式验收投入使用。（投标人提供承诺函证明）</w:t>
      </w:r>
      <w:r>
        <w:rPr>
          <w:rFonts w:ascii="Times New Roman" w:hAnsi="Times New Roman"/>
          <w:b/>
          <w:color w:val="000000"/>
        </w:rPr>
      </w:r>
      <w:r/>
    </w:p>
    <w:p>
      <w:pPr>
        <w:pStyle w:val="1025"/>
        <w:numPr>
          <w:ilvl w:val="0"/>
          <w:numId w:val="12"/>
        </w:numPr>
        <w:ind w:firstLine="480"/>
        <w:rPr>
          <w:rFonts w:ascii="Times New Roman" w:hAnsi="Times New Roman"/>
          <w:color w:val="000000"/>
        </w:rPr>
      </w:pPr>
      <w:r>
        <w:rPr>
          <w:rFonts w:ascii="Times New Roman" w:hAnsi="Times New Roman"/>
          <w:color w:val="000000"/>
        </w:rPr>
        <w:t xml:space="preserve">付款条件</w:t>
      </w:r>
      <w:r/>
    </w:p>
    <w:p>
      <w:pPr>
        <w:pStyle w:val="1025"/>
        <w:ind w:firstLine="480"/>
        <w:rPr>
          <w:rFonts w:ascii="Times New Roman" w:hAnsi="Times New Roman"/>
          <w:color w:val="000000"/>
        </w:rPr>
      </w:pPr>
      <w:r>
        <w:rPr>
          <w:rFonts w:ascii="Times New Roman" w:hAnsi="Times New Roman"/>
          <w:color w:val="000000"/>
        </w:rPr>
        <w:t xml:space="preserve">付款方式：本项目合同签订之日起10个工作日内，采购人向供应商支付本合同总金额的50%作为预付款；服务期满后支付余款。</w:t>
      </w:r>
      <w:r/>
    </w:p>
    <w:p>
      <w:pPr>
        <w:pStyle w:val="903"/>
        <w:tabs>
          <w:tab w:val="left" w:pos="6200" w:leader="none"/>
        </w:tabs>
        <w:rPr>
          <w:b/>
          <w:color w:val="000000"/>
          <w:sz w:val="32"/>
        </w:rPr>
      </w:pPr>
      <w:r>
        <w:rPr>
          <w:b/>
          <w:color w:val="000000"/>
          <w:sz w:val="32"/>
        </w:rPr>
      </w:r>
      <w:r/>
    </w:p>
    <w:p>
      <w:pPr>
        <w:pStyle w:val="1044"/>
        <w:ind w:firstLine="482"/>
        <w:spacing w:before="145" w:after="145"/>
        <w:rPr>
          <w:rFonts w:ascii="Times New Roman" w:hAnsi="Times New Roman"/>
          <w:b/>
          <w:color w:val="000000"/>
          <w:sz w:val="32"/>
          <w:szCs w:val="32"/>
          <w:lang w:eastAsia="zh-CN"/>
        </w:rPr>
        <w:outlineLvl w:val="1"/>
      </w:pPr>
      <w:r>
        <w:rPr>
          <w:rFonts w:ascii="Times New Roman" w:hAnsi="Times New Roman"/>
          <w:b/>
          <w:color w:val="000000"/>
          <w:sz w:val="32"/>
          <w:szCs w:val="32"/>
          <w:lang w:eastAsia="zh-CN"/>
        </w:rPr>
        <w:t xml:space="preserve">六、其他要求</w:t>
      </w:r>
      <w:r/>
    </w:p>
    <w:p>
      <w:pPr>
        <w:pStyle w:val="903"/>
        <w:ind w:firstLine="480"/>
        <w:spacing w:line="360" w:lineRule="auto"/>
        <w:rPr>
          <w:color w:val="000000"/>
          <w:sz w:val="24"/>
          <w:szCs w:val="24"/>
        </w:rPr>
      </w:pPr>
      <w:r>
        <w:rPr>
          <w:color w:val="000000"/>
          <w:sz w:val="24"/>
          <w:szCs w:val="24"/>
        </w:rPr>
        <w:t xml:space="preserve">1.项目属性:服务类项目。</w:t>
      </w:r>
      <w:r/>
    </w:p>
    <w:p>
      <w:pPr>
        <w:pStyle w:val="903"/>
        <w:ind w:firstLine="480"/>
        <w:spacing w:line="360" w:lineRule="auto"/>
        <w:rPr>
          <w:color w:val="000000"/>
          <w:sz w:val="24"/>
          <w:szCs w:val="24"/>
        </w:rPr>
      </w:pPr>
      <w:r>
        <w:rPr>
          <w:color w:val="000000"/>
          <w:sz w:val="24"/>
          <w:szCs w:val="24"/>
        </w:rPr>
        <w:t xml:space="preserve">2.本项目不接受进口产品参与投标。</w:t>
      </w:r>
      <w:r/>
    </w:p>
    <w:p>
      <w:pPr>
        <w:pStyle w:val="903"/>
        <w:spacing w:line="0" w:lineRule="atLeast"/>
        <w:rPr>
          <w:rFonts w:hint="eastAsia" w:ascii="宋体" w:hAnsi="宋体"/>
          <w:b/>
          <w:color w:val="000000"/>
          <w:sz w:val="24"/>
          <w:szCs w:val="24"/>
        </w:rPr>
      </w:pPr>
      <w:r>
        <w:rPr>
          <w:rFonts w:hint="eastAsia" w:ascii="宋体" w:hAnsi="宋体"/>
          <w:b/>
          <w:color w:val="000000"/>
          <w:sz w:val="24"/>
          <w:szCs w:val="24"/>
        </w:rPr>
      </w:r>
      <w:r/>
    </w:p>
    <w:p>
      <w:pPr>
        <w:pStyle w:val="903"/>
        <w:rPr>
          <w:rFonts w:hint="eastAsia"/>
          <w:color w:val="000000"/>
        </w:rPr>
      </w:pPr>
      <w:r/>
      <w:bookmarkStart w:id="234" w:name="_Toc120614281"/>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4"/>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hint="eastAsia" w:ascii="黑体" w:eastAsia="黑体"/>
          <w:bCs/>
          <w:color w:val="000000"/>
          <w:sz w:val="44"/>
        </w:rPr>
      </w:r>
      <w:r/>
    </w:p>
    <w:p>
      <w:pPr>
        <w:pStyle w:val="990"/>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W w:w="9214"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1944"/>
        <w:gridCol w:w="5852"/>
      </w:tblGrid>
      <w:tr>
        <w:trPr/>
        <w:tc>
          <w:tcPr>
            <w:tcW w:w="1418" w:type="dxa"/>
            <w:vAlign w:val="center"/>
            <w:textDirection w:val="lrTb"/>
            <w:noWrap w:val="false"/>
          </w:tcPr>
          <w:p>
            <w:pPr>
              <w:pStyle w:val="990"/>
              <w:ind w:firstLine="0"/>
              <w:jc w:val="center"/>
              <w:rPr>
                <w:rFonts w:cs="Arial"/>
                <w:b/>
                <w:color w:val="000000"/>
                <w:lang w:val="en-US" w:eastAsia="zh-CN"/>
              </w:rPr>
            </w:pPr>
            <w:r>
              <w:rPr>
                <w:rFonts w:cs="Arial"/>
                <w:b/>
                <w:color w:val="000000"/>
                <w:lang w:val="en-US" w:eastAsia="zh-CN"/>
              </w:rPr>
              <w:t xml:space="preserve">采购包号</w:t>
            </w:r>
            <w:r/>
          </w:p>
        </w:tc>
        <w:tc>
          <w:tcPr>
            <w:tcW w:w="1944" w:type="dxa"/>
            <w:vAlign w:val="center"/>
            <w:textDirection w:val="lrTb"/>
            <w:noWrap w:val="false"/>
          </w:tcPr>
          <w:p>
            <w:pPr>
              <w:pStyle w:val="990"/>
              <w:ind w:firstLine="0"/>
              <w:jc w:val="center"/>
              <w:rPr>
                <w:rFonts w:cs="Arial"/>
                <w:b/>
                <w:color w:val="000000"/>
                <w:lang w:val="en-US" w:eastAsia="zh-CN"/>
              </w:rPr>
            </w:pPr>
            <w:r>
              <w:rPr>
                <w:rFonts w:cs="Arial"/>
                <w:b/>
                <w:color w:val="000000"/>
                <w:lang w:val="en-US" w:eastAsia="zh-CN"/>
              </w:rPr>
              <w:t xml:space="preserve">选取中标候选人数量</w:t>
            </w:r>
            <w:r/>
          </w:p>
        </w:tc>
        <w:tc>
          <w:tcPr>
            <w:tcW w:w="5852" w:type="dxa"/>
            <w:vAlign w:val="center"/>
            <w:textDirection w:val="lrTb"/>
            <w:noWrap w:val="false"/>
          </w:tcPr>
          <w:p>
            <w:pPr>
              <w:pStyle w:val="990"/>
              <w:ind w:firstLine="441"/>
              <w:jc w:val="center"/>
              <w:rPr>
                <w:rFonts w:cs="Arial"/>
                <w:b/>
                <w:color w:val="000000"/>
                <w:lang w:val="en-US" w:eastAsia="zh-CN"/>
              </w:rPr>
            </w:pPr>
            <w:r>
              <w:rPr>
                <w:rFonts w:cs="Arial"/>
                <w:b/>
                <w:color w:val="000000"/>
                <w:lang w:val="en-US" w:eastAsia="zh-CN"/>
              </w:rPr>
              <w:t xml:space="preserve">选取中标候选人的原则</w:t>
            </w:r>
            <w:r/>
          </w:p>
        </w:tc>
      </w:tr>
      <w:tr>
        <w:trPr/>
        <w:tc>
          <w:tcPr>
            <w:tcW w:w="1418" w:type="dxa"/>
            <w:vAlign w:val="center"/>
            <w:textDirection w:val="lrTb"/>
            <w:noWrap w:val="false"/>
          </w:tcPr>
          <w:p>
            <w:pPr>
              <w:pStyle w:val="990"/>
              <w:ind w:firstLine="439"/>
              <w:rPr>
                <w:rFonts w:cs="Arial"/>
                <w:color w:val="000000"/>
                <w:lang w:val="en-US" w:eastAsia="zh-CN"/>
              </w:rPr>
            </w:pPr>
            <w:r>
              <w:rPr>
                <w:rFonts w:cs="Arial"/>
                <w:color w:val="000000"/>
                <w:lang w:val="en-US" w:eastAsia="zh-CN"/>
              </w:rPr>
              <w:t xml:space="preserve">1</w:t>
            </w:r>
            <w:r/>
          </w:p>
        </w:tc>
        <w:tc>
          <w:tcPr>
            <w:tcW w:w="1944" w:type="dxa"/>
            <w:vAlign w:val="center"/>
            <w:textDirection w:val="lrTb"/>
            <w:noWrap w:val="false"/>
          </w:tcPr>
          <w:p>
            <w:pPr>
              <w:pStyle w:val="990"/>
              <w:ind w:firstLine="439"/>
              <w:rPr>
                <w:rFonts w:cs="Arial"/>
                <w:color w:val="000000"/>
                <w:lang w:val="en-US" w:eastAsia="zh-CN"/>
              </w:rPr>
            </w:pPr>
            <w:r>
              <w:rPr>
                <w:rFonts w:cs="Arial"/>
                <w:color w:val="000000"/>
                <w:lang w:val="en-US" w:eastAsia="zh-CN"/>
              </w:rPr>
              <w:t xml:space="preserve">1</w:t>
            </w:r>
            <w:r/>
          </w:p>
        </w:tc>
        <w:tc>
          <w:tcPr>
            <w:tcW w:w="5852" w:type="dxa"/>
            <w:vAlign w:val="center"/>
            <w:textDirection w:val="lrTb"/>
            <w:noWrap w:val="false"/>
          </w:tcPr>
          <w:p>
            <w:pPr>
              <w:pStyle w:val="990"/>
              <w:ind w:firstLine="360"/>
              <w:spacing w:line="0" w:lineRule="atLeast"/>
              <w:rPr>
                <w:rFonts w:cs="Arial"/>
                <w:color w:val="000000"/>
                <w:lang w:val="en-US" w:eastAsia="zh-CN"/>
              </w:rPr>
            </w:pPr>
            <w:r>
              <w:rPr>
                <w:rFonts w:ascii="宋体" w:hAnsi="宋体"/>
                <w:color w:val="000000"/>
                <w:lang w:val="en-US" w:eastAsia="zh-CN"/>
              </w:rPr>
              <w:t xml:space="preserve">满足招标文件全部实质性要求，且按照评审因素的量化指标评审得分最高的投标人为中标候选人。</w:t>
            </w:r>
            <w:r>
              <w:rPr>
                <w:rFonts w:cs="Arial"/>
                <w:color w:val="000000"/>
                <w:lang w:val="en-US" w:eastAsia="zh-CN"/>
              </w:rPr>
            </w:r>
            <w:r/>
          </w:p>
        </w:tc>
      </w:tr>
      <w:tr>
        <w:trPr/>
        <w:tc>
          <w:tcPr>
            <w:tcW w:w="1418" w:type="dxa"/>
            <w:vAlign w:val="center"/>
            <w:textDirection w:val="lrTb"/>
            <w:noWrap w:val="false"/>
          </w:tcPr>
          <w:p>
            <w:pPr>
              <w:pStyle w:val="990"/>
              <w:ind w:firstLine="439"/>
              <w:rPr>
                <w:rFonts w:cs="Arial"/>
                <w:color w:val="000000"/>
                <w:lang w:val="en-US" w:eastAsia="zh-CN"/>
              </w:rPr>
            </w:pPr>
            <w:r>
              <w:rPr>
                <w:rFonts w:cs="Arial"/>
                <w:color w:val="000000"/>
                <w:lang w:val="en-US" w:eastAsia="zh-CN"/>
              </w:rPr>
              <w:t xml:space="preserve">2</w:t>
            </w:r>
            <w:r/>
          </w:p>
        </w:tc>
        <w:tc>
          <w:tcPr>
            <w:tcW w:w="1944" w:type="dxa"/>
            <w:vAlign w:val="center"/>
            <w:textDirection w:val="lrTb"/>
            <w:noWrap w:val="false"/>
          </w:tcPr>
          <w:p>
            <w:pPr>
              <w:pStyle w:val="990"/>
              <w:ind w:firstLine="439"/>
              <w:rPr>
                <w:rFonts w:cs="Arial"/>
                <w:color w:val="000000"/>
                <w:lang w:val="en-US" w:eastAsia="zh-CN"/>
              </w:rPr>
            </w:pPr>
            <w:r>
              <w:rPr>
                <w:rFonts w:cs="Arial"/>
                <w:color w:val="000000"/>
                <w:lang w:val="en-US" w:eastAsia="zh-CN"/>
              </w:rPr>
              <w:t xml:space="preserve">1</w:t>
            </w:r>
            <w:r/>
          </w:p>
        </w:tc>
        <w:tc>
          <w:tcPr>
            <w:tcW w:w="5852" w:type="dxa"/>
            <w:vAlign w:val="center"/>
            <w:textDirection w:val="lrTb"/>
            <w:noWrap w:val="false"/>
          </w:tcPr>
          <w:p>
            <w:pPr>
              <w:pStyle w:val="990"/>
              <w:ind w:firstLine="360"/>
              <w:spacing w:line="0" w:lineRule="atLeast"/>
              <w:rPr>
                <w:rFonts w:cs="Arial"/>
                <w:color w:val="000000"/>
                <w:lang w:val="en-US" w:eastAsia="zh-CN"/>
              </w:rPr>
            </w:pPr>
            <w:r>
              <w:rPr>
                <w:rFonts w:ascii="宋体" w:hAnsi="宋体"/>
                <w:color w:val="000000"/>
                <w:lang w:val="en-US" w:eastAsia="zh-CN"/>
              </w:rPr>
              <w:t xml:space="preserve">已被推荐为分包1中标候选人的投标人可以参与分包2的评审。满足招标文件全部实质性要求，且按照评审因素的量化指标评审得分最高的投标人为中标候选人。</w:t>
            </w:r>
            <w:r>
              <w:rPr>
                <w:rFonts w:cs="Arial"/>
                <w:color w:val="000000"/>
                <w:lang w:val="en-US" w:eastAsia="zh-CN"/>
              </w:rPr>
            </w:r>
            <w:r/>
          </w:p>
        </w:tc>
      </w:tr>
    </w:tbl>
    <w:p>
      <w:pPr>
        <w:pStyle w:val="990"/>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rPr>
          <w:rFonts w:hint="eastAsia" w:ascii="宋体" w:hAnsi="宋体"/>
          <w:b/>
          <w:color w:val="000000"/>
          <w:highlight w:val="yellow"/>
        </w:rPr>
      </w:r>
      <w:r/>
    </w:p>
    <w:p>
      <w:pPr>
        <w:pStyle w:val="990"/>
        <w:spacing w:line="0" w:lineRule="atLeast"/>
        <w:rPr>
          <w:rFonts w:hint="eastAsia" w:ascii="宋体" w:hAnsi="宋体"/>
          <w:color w:val="000000"/>
        </w:rPr>
      </w:pPr>
      <w:r>
        <w:rPr>
          <w:rFonts w:hint="eastAsia" w:ascii="宋体" w:hAnsi="宋体"/>
          <w:color w:val="000000"/>
        </w:rPr>
        <w:t xml:space="preserve">1、小微型企业价格扣除</w:t>
      </w:r>
      <w:r/>
    </w:p>
    <w:p>
      <w:pPr>
        <w:pStyle w:val="990"/>
        <w:ind w:firstLine="360"/>
        <w:spacing w:line="0" w:lineRule="atLeast"/>
        <w:rPr>
          <w:rFonts w:hint="eastAsia"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10%</w:t>
      </w:r>
      <w:r>
        <w:rPr>
          <w:rFonts w:hint="eastAsia" w:ascii="宋体" w:hAnsi="宋体"/>
          <w:color w:val="000000"/>
        </w:rPr>
        <w:t xml:space="preserve">的扣除价格，用扣除后的价格参与评审。</w:t>
      </w:r>
      <w:r/>
    </w:p>
    <w:p>
      <w:pPr>
        <w:pStyle w:val="990"/>
        <w:ind w:firstLine="360"/>
        <w:spacing w:line="0" w:lineRule="atLeast"/>
        <w:rPr>
          <w:rFonts w:hint="eastAsia" w:ascii="宋体" w:hAnsi="宋体"/>
          <w:color w:val="000000"/>
        </w:rPr>
      </w:pPr>
      <w:r>
        <w:rPr>
          <w:rFonts w:hint="eastAsia" w:ascii="宋体" w:hAnsi="宋体"/>
          <w:color w:val="000000"/>
        </w:rPr>
        <w:t xml:space="preserve">（2）供应商需按照采购文件的要求提供相应的《中小微企业声明函》。</w:t>
      </w:r>
      <w:r/>
    </w:p>
    <w:p>
      <w:pPr>
        <w:pStyle w:val="990"/>
        <w:spacing w:line="0" w:lineRule="atLeast"/>
        <w:rPr>
          <w:rFonts w:hint="eastAsia" w:ascii="宋体" w:hAnsi="宋体"/>
          <w:color w:val="000000"/>
        </w:rPr>
      </w:pPr>
      <w:r>
        <w:rPr>
          <w:rFonts w:hint="eastAsia" w:ascii="宋体" w:hAnsi="宋体"/>
          <w:color w:val="000000"/>
        </w:rPr>
        <w:t xml:space="preserve">2、残疾人福利单位价格扣除</w:t>
      </w:r>
      <w:r/>
    </w:p>
    <w:p>
      <w:pPr>
        <w:pStyle w:val="990"/>
        <w:ind w:left="120" w:firstLine="360"/>
        <w:spacing w:line="0" w:lineRule="atLeast"/>
        <w:rPr>
          <w:rFonts w:hint="eastAsia"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p>
    <w:p>
      <w:pPr>
        <w:pStyle w:val="990"/>
        <w:ind w:left="120" w:firstLine="360"/>
        <w:spacing w:line="0" w:lineRule="atLeast"/>
        <w:rPr>
          <w:rFonts w:hint="eastAsia" w:ascii="宋体" w:hAnsi="宋体"/>
          <w:color w:val="000000"/>
        </w:rPr>
      </w:pPr>
      <w:r>
        <w:rPr>
          <w:rFonts w:hint="eastAsia" w:ascii="宋体" w:hAnsi="宋体"/>
          <w:color w:val="000000"/>
        </w:rPr>
        <w:t xml:space="preserve">（2）残疾人福利单位需按照采购文件的要求提供《残疾人福利性单位声明函》。</w:t>
      </w:r>
      <w:r/>
    </w:p>
    <w:p>
      <w:pPr>
        <w:pStyle w:val="990"/>
        <w:ind w:left="120" w:firstLine="360"/>
        <w:spacing w:line="0" w:lineRule="atLeast"/>
        <w:rPr>
          <w:rFonts w:hint="eastAsia" w:ascii="宋体" w:hAnsi="宋体"/>
          <w:color w:val="000000"/>
        </w:rPr>
      </w:pPr>
      <w:r>
        <w:rPr>
          <w:rFonts w:hint="eastAsia" w:ascii="宋体" w:hAnsi="宋体"/>
          <w:color w:val="000000"/>
        </w:rPr>
        <w:t xml:space="preserve">（3）残疾人福利单位标准请参照《关于促进残疾人就业政府采购政策的通知》（财库〔2017〕141号）。</w:t>
      </w:r>
      <w:r/>
    </w:p>
    <w:p>
      <w:pPr>
        <w:pStyle w:val="990"/>
        <w:spacing w:line="0" w:lineRule="atLeast"/>
        <w:rPr>
          <w:rFonts w:hint="eastAsia" w:ascii="宋体" w:hAnsi="宋体"/>
          <w:color w:val="000000"/>
        </w:rPr>
      </w:pPr>
      <w:r>
        <w:rPr>
          <w:rFonts w:hint="eastAsia" w:ascii="宋体" w:hAnsi="宋体"/>
          <w:color w:val="000000"/>
        </w:rPr>
        <w:t xml:space="preserve">3、监狱和戒毒企业价格扣除</w:t>
      </w:r>
      <w:r/>
    </w:p>
    <w:p>
      <w:pPr>
        <w:pStyle w:val="990"/>
        <w:spacing w:line="0" w:lineRule="atLeast"/>
        <w:rPr>
          <w:rFonts w:hint="eastAsia"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p>
    <w:p>
      <w:pPr>
        <w:pStyle w:val="990"/>
        <w:spacing w:line="0" w:lineRule="atLeast"/>
        <w:rPr>
          <w:rFonts w:hint="eastAsia"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w:t>
      </w:r>
      <w:r>
        <w:rPr>
          <w:rFonts w:hint="eastAsia" w:ascii="宋体" w:hAnsi="宋体"/>
          <w:color w:val="000000"/>
        </w:rPr>
        <w:t xml:space="preserve">供应商如不提供上述证明文件，价格将不做相应扣除</w:t>
      </w:r>
      <w:r>
        <w:rPr>
          <w:rFonts w:hint="eastAsia" w:ascii="宋体" w:hAnsi="宋体"/>
          <w:color w:val="000000"/>
        </w:rPr>
        <w:t xml:space="preserve">。</w:t>
      </w:r>
      <w:r/>
    </w:p>
    <w:p>
      <w:pPr>
        <w:pStyle w:val="990"/>
        <w:spacing w:line="0" w:lineRule="atLeast"/>
        <w:rPr>
          <w:rFonts w:hint="eastAsia" w:ascii="宋体" w:hAnsi="宋体"/>
          <w:color w:val="000000"/>
        </w:rPr>
      </w:pPr>
      <w:r>
        <w:rPr>
          <w:rFonts w:hint="eastAsia" w:ascii="宋体" w:hAnsi="宋体"/>
          <w:color w:val="000000"/>
        </w:rPr>
        <w:t xml:space="preserve">（3）监狱企业标准请参照《关于政府采购支持监狱企业发展有关问题的通知》（</w:t>
      </w:r>
      <w:r>
        <w:rPr>
          <w:rFonts w:ascii="宋体" w:hAnsi="宋体"/>
          <w:color w:val="000000"/>
        </w:rPr>
        <w:t xml:space="preserve">财库〔2014〕68号</w:t>
      </w:r>
      <w:r>
        <w:rPr>
          <w:rFonts w:hint="eastAsia" w:ascii="宋体" w:hAnsi="宋体"/>
          <w:color w:val="000000"/>
        </w:rPr>
        <w:t xml:space="preserve">）。</w:t>
      </w:r>
      <w:r/>
    </w:p>
    <w:p>
      <w:pPr>
        <w:pStyle w:val="990"/>
        <w:spacing w:line="400" w:lineRule="exact"/>
        <w:rPr>
          <w:rFonts w:hint="eastAsia" w:ascii="宋体" w:hAnsi="宋体"/>
          <w:color w:val="000000"/>
        </w:rPr>
      </w:pPr>
      <w:r>
        <w:rPr>
          <w:rFonts w:hint="eastAsia" w:ascii="宋体" w:hAnsi="宋体"/>
          <w:color w:val="000000"/>
        </w:rPr>
        <w:t xml:space="preserve">4、残疾人福利单位、监狱企业属于小型、微型企业的，不重复享受政策。</w:t>
      </w:r>
      <w:r/>
    </w:p>
    <w:p>
      <w:pPr>
        <w:pStyle w:val="990"/>
        <w:spacing w:line="400" w:lineRule="exact"/>
        <w:rPr>
          <w:rFonts w:hint="eastAsia" w:ascii="宋体" w:hAnsi="宋体"/>
          <w:color w:val="000000"/>
        </w:rPr>
      </w:pPr>
      <w:r>
        <w:rPr>
          <w:rFonts w:hint="eastAsia" w:ascii="宋体" w:hAnsi="宋体"/>
          <w:color w:val="000000"/>
        </w:rPr>
        <w:t xml:space="preserve">5、如果本项目同意联合体投标或同意</w:t>
      </w:r>
      <w:r>
        <w:rPr>
          <w:rFonts w:hint="eastAsia" w:ascii="宋体" w:hAnsi="宋体"/>
          <w:color w:val="000000"/>
        </w:rPr>
        <w:t xml:space="preserve">分包</w:t>
      </w:r>
      <w:r>
        <w:rPr>
          <w:rFonts w:hint="eastAsia" w:ascii="宋体" w:hAnsi="宋体"/>
          <w:color w:val="000000"/>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color w:val="000000"/>
        </w:rPr>
        <w:t xml:space="preserve">意向协议中约定小微型企业（残疾人福利单位、监狱企业）的合同份额占到合同总金额30%以上的，给予联合体或者大中型企业</w:t>
      </w:r>
      <w:r>
        <w:rPr>
          <w:rFonts w:ascii="宋体" w:hAnsi="宋体"/>
          <w:color w:val="000000"/>
          <w:u w:val="single"/>
        </w:rPr>
        <w:t xml:space="preserve">4</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p>
    <w:p>
      <w:pPr>
        <w:pStyle w:val="990"/>
        <w:spacing w:line="400" w:lineRule="exact"/>
        <w:rPr>
          <w:rFonts w:hint="eastAsia"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10%</w:t>
      </w:r>
      <w:r>
        <w:rPr>
          <w:rFonts w:hint="eastAsia" w:ascii="宋体" w:hAnsi="宋体"/>
          <w:color w:val="000000"/>
        </w:rPr>
        <w:t xml:space="preserve">价格扣除，用扣除后的价格参与评审。</w:t>
      </w:r>
      <w:r/>
    </w:p>
    <w:p>
      <w:pPr>
        <w:pStyle w:val="903"/>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7.采购本国产品的支持政策</w:t>
      </w:r>
      <w:r/>
    </w:p>
    <w:p>
      <w:pPr>
        <w:pStyle w:val="903"/>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7.1 当采购包中含有货物的，供应商为该采购包提供的符合本国产品标准的货物成本之和占该供应商提供的整个采购包成本之和的比例达到</w:t>
      </w:r>
      <w:r>
        <w:rPr>
          <w:rFonts w:hint="eastAsia" w:ascii="方正魏碑_GBK" w:hAnsi="方正魏碑_GBK" w:eastAsia="方正魏碑_GBK" w:cs="方正魏碑_GBK"/>
          <w:color w:val="000000"/>
          <w:sz w:val="24"/>
          <w:szCs w:val="24"/>
          <w:u w:val="single"/>
        </w:rPr>
        <w:t xml:space="preserve">80%</w:t>
      </w:r>
      <w:r>
        <w:rPr>
          <w:rFonts w:hint="eastAsia" w:ascii="方正魏碑_GBK" w:hAnsi="方正魏碑_GBK" w:eastAsia="方正魏碑_GBK" w:cs="方正魏碑_GBK"/>
          <w:color w:val="000000"/>
          <w:sz w:val="24"/>
          <w:szCs w:val="24"/>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魏碑_GBK" w:hAnsi="方正魏碑_GBK" w:eastAsia="方正魏碑_GBK" w:cs="方正魏碑_GBK"/>
          <w:color w:val="000000"/>
          <w:sz w:val="24"/>
          <w:szCs w:val="24"/>
          <w:u w:val="single"/>
        </w:rPr>
        <w:t xml:space="preserve">20%</w:t>
      </w:r>
      <w:r>
        <w:rPr>
          <w:rFonts w:hint="eastAsia" w:ascii="方正魏碑_GBK" w:hAnsi="方正魏碑_GBK" w:eastAsia="方正魏碑_GBK" w:cs="方正魏碑_GBK"/>
          <w:color w:val="000000"/>
          <w:sz w:val="24"/>
          <w:szCs w:val="24"/>
        </w:rPr>
        <w:t xml:space="preserve">的价格扣除，用扣除后的价格参与评审。供应商未填写比例数值，或比例数值不足</w:t>
      </w:r>
      <w:r>
        <w:rPr>
          <w:rFonts w:hint="eastAsia" w:ascii="方正魏碑_GBK" w:hAnsi="方正魏碑_GBK" w:eastAsia="方正魏碑_GBK" w:cs="方正魏碑_GBK"/>
          <w:color w:val="000000"/>
          <w:sz w:val="24"/>
          <w:szCs w:val="24"/>
          <w:u w:val="single"/>
        </w:rPr>
        <w:t xml:space="preserve">80%</w:t>
      </w:r>
      <w:r>
        <w:rPr>
          <w:rFonts w:hint="eastAsia" w:ascii="方正魏碑_GBK" w:hAnsi="方正魏碑_GBK" w:eastAsia="方正魏碑_GBK" w:cs="方正魏碑_GBK"/>
          <w:color w:val="000000"/>
          <w:sz w:val="24"/>
          <w:szCs w:val="24"/>
        </w:rPr>
        <w:t xml:space="preserve">的，将不享受本国产品价格评审优惠。</w:t>
      </w:r>
      <w:r/>
    </w:p>
    <w:p>
      <w:pPr>
        <w:pStyle w:val="903"/>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7.2 供应商需按照招标文件的要求提供《关于符合本国产品标准的声明函》（以下简称《声明函》），如不提供将不享受本国产品价格评审优惠。</w:t>
      </w:r>
      <w:r/>
    </w:p>
    <w:p>
      <w:pPr>
        <w:pStyle w:val="903"/>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7.3 供应商需在《声明函》中逐一、准确填写产品名称、厂名、生产厂址三项信息（《声明函》中标注</w:t>
      </w:r>
      <w:r>
        <w:rPr>
          <w:rFonts w:hint="eastAsia" w:ascii="方正魏碑_GBK" w:hAnsi="方正魏碑_GBK" w:eastAsia="方正魏碑_GBK" w:cs="方正魏碑_GBK"/>
          <w:color w:val="000000"/>
          <w:sz w:val="24"/>
          <w:szCs w:val="24"/>
          <w:u w:val="single"/>
        </w:rPr>
        <w:t xml:space="preserve">“  /  ”</w:t>
      </w:r>
      <w:r>
        <w:rPr>
          <w:rFonts w:hint="eastAsia" w:ascii="方正魏碑_GBK" w:hAnsi="方正魏碑_GBK" w:eastAsia="方正魏碑_GBK" w:cs="方正魏碑_GBK"/>
          <w:color w:val="000000"/>
          <w:sz w:val="24"/>
          <w:szCs w:val="24"/>
        </w:rPr>
        <w:t xml:space="preserve">的地方无需填写），三项信息中任意一项未填写的视为该项产品不符合本国产品标准，不享受本国产品价格评审优惠。</w:t>
      </w:r>
      <w:r/>
    </w:p>
    <w:p>
      <w:pPr>
        <w:pStyle w:val="903"/>
        <w:ind w:firstLine="480"/>
        <w:jc w:val="left"/>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0"/>
        <w:ind w:firstLine="0"/>
        <w:spacing w:line="0" w:lineRule="atLeast"/>
        <w:rPr>
          <w:rFonts w:hint="eastAsia" w:ascii="宋体" w:hAnsi="宋体"/>
          <w:b/>
          <w:bCs/>
          <w:color w:val="000000"/>
          <w:highlight w:val="yellow"/>
        </w:rPr>
      </w:pPr>
      <w:r>
        <w:rPr>
          <w:rFonts w:hint="eastAsia" w:ascii="宋体" w:hAnsi="宋体"/>
          <w:b/>
          <w:color w:val="000000"/>
          <w:highlight w:val="none"/>
        </w:rPr>
      </w:r>
      <w:r>
        <w:rPr>
          <w:rFonts w:hint="eastAsia" w:ascii="宋体" w:hAnsi="宋体"/>
          <w:b/>
          <w:color w:val="000000"/>
          <w:highlight w:val="none"/>
        </w:rPr>
      </w:r>
    </w:p>
    <w:p>
      <w:pPr>
        <w:pStyle w:val="990"/>
        <w:ind w:firstLine="0"/>
        <w:spacing w:line="0" w:lineRule="atLeast"/>
        <w:rPr>
          <w:rFonts w:hint="eastAsia" w:ascii="宋体" w:hAnsi="宋体"/>
          <w:b/>
          <w:bCs/>
          <w:color w:val="000000"/>
          <w:highlight w:val="none"/>
        </w:rPr>
      </w:pPr>
      <w:r>
        <w:rPr>
          <w:rFonts w:hint="eastAsia" w:ascii="宋体" w:hAnsi="宋体"/>
          <w:b/>
          <w:color w:val="000000"/>
          <w:highlight w:val="none"/>
        </w:rPr>
      </w:r>
      <w:r>
        <w:rPr>
          <w:rFonts w:hint="eastAsia" w:ascii="宋体" w:hAnsi="宋体"/>
          <w:b/>
          <w:color w:val="000000"/>
          <w:highlight w:val="none"/>
        </w:rPr>
      </w:r>
    </w:p>
    <w:p>
      <w:pPr>
        <w:pStyle w:val="990"/>
        <w:ind w:firstLine="0"/>
        <w:spacing w:line="0" w:lineRule="atLeast"/>
        <w:rPr>
          <w:rFonts w:hint="eastAsia" w:ascii="宋体" w:hAnsi="宋体"/>
          <w:b/>
          <w:bCs/>
          <w:color w:val="000000"/>
          <w:highlight w:val="none"/>
        </w:rPr>
      </w:pPr>
      <w:r>
        <w:rPr>
          <w:rFonts w:hint="eastAsia" w:ascii="宋体" w:hAnsi="宋体"/>
          <w:b/>
          <w:color w:val="000000"/>
        </w:rPr>
        <w:t xml:space="preserve">评标方法与评标标准</w:t>
      </w:r>
      <w:r>
        <w:rPr>
          <w:rFonts w:hint="eastAsia" w:ascii="宋体" w:hAnsi="宋体"/>
          <w:b/>
          <w:color w:val="000000"/>
          <w:highlight w:val="yellow"/>
        </w:rPr>
      </w:r>
      <w:r/>
    </w:p>
    <w:p>
      <w:pPr>
        <w:pStyle w:val="990"/>
        <w:rPr>
          <w:rFonts w:hint="eastAsia" w:ascii="Times New Roman" w:hAnsi="Times New Roman"/>
          <w:b/>
          <w:bCs/>
          <w:color w:val="000000"/>
          <w:sz w:val="28"/>
          <w:szCs w:val="28"/>
          <w:lang w:val="en-US"/>
        </w:rPr>
      </w:pPr>
      <w:r>
        <w:rPr>
          <w:rFonts w:hint="eastAsia"/>
          <w:color w:val="000000"/>
        </w:rPr>
        <w:t xml:space="preserve">   </w:t>
      </w:r>
      <w:r>
        <w:rPr>
          <w:rFonts w:ascii="Times New Roman" w:hAnsi="Times New Roman"/>
          <w:b/>
          <w:bCs/>
          <w:color w:val="000000"/>
          <w:sz w:val="28"/>
          <w:szCs w:val="28"/>
        </w:rPr>
        <w:t xml:space="preserve">采购包1：</w:t>
      </w:r>
      <w:r>
        <w:rPr>
          <w:rFonts w:hint="eastAsia" w:ascii="Times New Roman" w:hAnsi="Times New Roman"/>
          <w:b/>
          <w:bCs/>
          <w:color w:val="000000"/>
          <w:sz w:val="28"/>
          <w:szCs w:val="28"/>
          <w:lang w:val="en-US"/>
        </w:rPr>
      </w:r>
      <w:r/>
    </w:p>
    <w:tbl>
      <w:tblPr>
        <w:tblW w:w="492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9"/>
        <w:gridCol w:w="5729"/>
        <w:gridCol w:w="1159"/>
      </w:tblGrid>
      <w:tr>
        <w:trPr>
          <w:trHeight w:val="270"/>
        </w:trPr>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03"/>
              <w:jc w:val="center"/>
              <w:widowControl/>
              <w:rPr>
                <w:b/>
                <w:color w:val="000000"/>
                <w:sz w:val="24"/>
                <w:szCs w:val="24"/>
              </w:rPr>
            </w:pPr>
            <w:r>
              <w:rPr>
                <w:b/>
                <w:color w:val="000000"/>
                <w:sz w:val="24"/>
                <w:szCs w:val="24"/>
              </w:rPr>
              <w:t xml:space="preserve">评标内容</w:t>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jc w:val="center"/>
              <w:widowControl/>
              <w:rPr>
                <w:b/>
                <w:color w:val="000000"/>
                <w:sz w:val="24"/>
                <w:szCs w:val="24"/>
              </w:rPr>
            </w:pPr>
            <w:r>
              <w:rPr>
                <w:b/>
                <w:color w:val="000000"/>
                <w:sz w:val="24"/>
                <w:szCs w:val="24"/>
              </w:rPr>
              <w:t xml:space="preserve">评标标准</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903"/>
              <w:jc w:val="center"/>
              <w:widowControl/>
              <w:rPr>
                <w:b/>
                <w:color w:val="000000"/>
                <w:sz w:val="24"/>
                <w:szCs w:val="24"/>
              </w:rPr>
            </w:pPr>
            <w:r>
              <w:rPr>
                <w:b/>
                <w:color w:val="000000"/>
                <w:sz w:val="24"/>
                <w:szCs w:val="24"/>
              </w:rPr>
              <w:t xml:space="preserve">分值</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9037" w:type="dxa"/>
            <w:vAlign w:val="center"/>
            <w:textDirection w:val="lrTb"/>
            <w:noWrap w:val="false"/>
          </w:tcPr>
          <w:p>
            <w:pPr>
              <w:pStyle w:val="903"/>
              <w:jc w:val="center"/>
              <w:widowControl/>
              <w:rPr>
                <w:b/>
                <w:color w:val="000000"/>
                <w:sz w:val="24"/>
                <w:szCs w:val="24"/>
              </w:rPr>
            </w:pPr>
            <w:r>
              <w:rPr>
                <w:b/>
                <w:bCs/>
                <w:color w:val="000000"/>
                <w:sz w:val="24"/>
                <w:szCs w:val="24"/>
                <w:lang w:bidi="ar"/>
              </w:rPr>
              <w:t xml:space="preserve">一、报价部分（10分）</w:t>
            </w:r>
            <w:r>
              <w:rPr>
                <w:b/>
                <w:color w:val="000000"/>
                <w:sz w:val="24"/>
                <w:szCs w:val="24"/>
              </w:rPr>
            </w:r>
            <w:r/>
          </w:p>
        </w:tc>
      </w:tr>
      <w:tr>
        <w:trPr>
          <w:trHeight w:val="572"/>
        </w:trPr>
        <w:tc>
          <w:tcPr>
            <w:tcBorders>
              <w:top w:val="single" w:color="000000" w:sz="4" w:space="0"/>
              <w:left w:val="single" w:color="000000" w:sz="4" w:space="0"/>
              <w:bottom w:val="none" w:color="000000" w:sz="4" w:space="0"/>
              <w:right w:val="single" w:color="000000" w:sz="4" w:space="0"/>
            </w:tcBorders>
            <w:tcW w:w="2149" w:type="dxa"/>
            <w:vAlign w:val="center"/>
            <w:textDirection w:val="lrTb"/>
            <w:noWrap w:val="false"/>
          </w:tcPr>
          <w:p>
            <w:pPr>
              <w:pStyle w:val="903"/>
              <w:jc w:val="center"/>
              <w:widowControl/>
              <w:rPr>
                <w:color w:val="000000"/>
                <w:sz w:val="24"/>
                <w:szCs w:val="24"/>
              </w:rPr>
            </w:pPr>
            <w:r>
              <w:rPr>
                <w:color w:val="000000"/>
                <w:sz w:val="24"/>
                <w:szCs w:val="24"/>
              </w:rPr>
              <w:t xml:space="preserve">1 </w:t>
            </w:r>
            <w:r/>
          </w:p>
          <w:p>
            <w:pPr>
              <w:pStyle w:val="903"/>
              <w:jc w:val="center"/>
              <w:widowControl/>
              <w:rPr>
                <w:color w:val="000000"/>
                <w:sz w:val="24"/>
                <w:szCs w:val="24"/>
              </w:rPr>
            </w:pPr>
            <w:r>
              <w:rPr>
                <w:color w:val="000000"/>
                <w:sz w:val="24"/>
                <w:szCs w:val="24"/>
              </w:rPr>
              <w:t xml:space="preserve">报价部分</w:t>
            </w:r>
            <w:r/>
          </w:p>
        </w:tc>
        <w:tc>
          <w:tcPr>
            <w:tcBorders>
              <w:top w:val="single" w:color="000000" w:sz="4" w:space="0"/>
              <w:left w:val="single" w:color="000000" w:sz="4" w:space="0"/>
              <w:bottom w:val="none" w:color="000000" w:sz="4" w:space="0"/>
              <w:right w:val="single" w:color="000000" w:sz="4" w:space="0"/>
            </w:tcBorders>
            <w:tcW w:w="5729" w:type="dxa"/>
            <w:vAlign w:val="center"/>
            <w:textDirection w:val="lrTb"/>
            <w:noWrap w:val="false"/>
          </w:tcPr>
          <w:p>
            <w:pPr>
              <w:pStyle w:val="903"/>
              <w:rPr>
                <w:color w:val="000000"/>
              </w:rPr>
            </w:pPr>
            <w:r>
              <w:rPr>
                <w:color w:val="000000"/>
              </w:rPr>
              <w:t xml:space="preserve">采用低价优先法，满足采购文件要求且投标价格最低的投标报价为评标基准价，其价格分为满分。其他投标人的价格分统一按照下列公式计算：投标报价得分=(评标基准价／投标报价)×10。</w:t>
            </w:r>
            <w:r/>
          </w:p>
        </w:tc>
        <w:tc>
          <w:tcPr>
            <w:tcBorders>
              <w:top w:val="single" w:color="000000" w:sz="4" w:space="0"/>
              <w:left w:val="single" w:color="000000" w:sz="4" w:space="0"/>
              <w:bottom w:val="none" w:color="000000" w:sz="4" w:space="0"/>
              <w:right w:val="single" w:color="000000" w:sz="4" w:space="0"/>
            </w:tcBorders>
            <w:tcW w:w="1159" w:type="dxa"/>
            <w:vAlign w:val="center"/>
            <w:textDirection w:val="lrTb"/>
            <w:noWrap w:val="false"/>
          </w:tcPr>
          <w:p>
            <w:pPr>
              <w:pStyle w:val="903"/>
              <w:jc w:val="center"/>
              <w:widowControl/>
              <w:rPr>
                <w:color w:val="000000"/>
                <w:sz w:val="24"/>
                <w:szCs w:val="24"/>
              </w:rPr>
            </w:pPr>
            <w:r>
              <w:rPr>
                <w:color w:val="000000"/>
                <w:sz w:val="24"/>
                <w:szCs w:val="24"/>
              </w:rPr>
              <w:t xml:space="preserve">10</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9037" w:type="dxa"/>
            <w:vAlign w:val="center"/>
            <w:textDirection w:val="lrTb"/>
            <w:noWrap w:val="false"/>
          </w:tcPr>
          <w:p>
            <w:pPr>
              <w:pStyle w:val="903"/>
              <w:rPr>
                <w:color w:val="000000"/>
              </w:rPr>
            </w:pPr>
            <w:r>
              <w:rPr>
                <w:color w:val="000000"/>
              </w:rPr>
              <w:t xml:space="preserve">二、技术部分（59分）</w:t>
            </w:r>
            <w:r/>
          </w:p>
        </w:tc>
      </w:tr>
      <w:tr>
        <w:trPr>
          <w:trHeight w:val="90"/>
        </w:trPr>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03"/>
              <w:jc w:val="center"/>
              <w:widowControl/>
              <w:rPr>
                <w:color w:val="000000"/>
                <w:sz w:val="24"/>
                <w:szCs w:val="24"/>
              </w:rPr>
            </w:pPr>
            <w:r/>
            <w:bookmarkStart w:id="235" w:name="_Hlk226539438"/>
            <w:r/>
            <w:bookmarkStart w:id="236" w:name="OLE_LINK1"/>
            <w:r/>
            <w:bookmarkStart w:id="237" w:name="OLE_LINK2"/>
            <w:r>
              <w:rPr>
                <w:color w:val="000000"/>
                <w:sz w:val="24"/>
                <w:szCs w:val="24"/>
              </w:rPr>
              <w:t xml:space="preserve">2.1</w:t>
            </w:r>
            <w:r/>
          </w:p>
          <w:p>
            <w:pPr>
              <w:pStyle w:val="903"/>
              <w:jc w:val="center"/>
              <w:widowControl/>
              <w:rPr>
                <w:color w:val="000000"/>
                <w:sz w:val="24"/>
                <w:szCs w:val="24"/>
              </w:rPr>
            </w:pPr>
            <w:r>
              <w:rPr>
                <w:color w:val="000000"/>
                <w:sz w:val="24"/>
                <w:szCs w:val="24"/>
              </w:rPr>
              <w:t xml:space="preserve">技术要求响应</w:t>
            </w:r>
            <w:r/>
          </w:p>
        </w:tc>
        <w:tc>
          <w:tcPr>
            <w:tcBorders>
              <w:top w:val="single" w:color="000000" w:sz="4" w:space="0"/>
              <w:left w:val="single" w:color="000000" w:sz="4" w:space="0"/>
              <w:right w:val="single" w:color="000000" w:sz="4" w:space="0"/>
            </w:tcBorders>
            <w:tcW w:w="5729" w:type="dxa"/>
            <w:vAlign w:val="center"/>
            <w:textDirection w:val="lrTb"/>
            <w:noWrap w:val="false"/>
          </w:tcPr>
          <w:p>
            <w:pPr>
              <w:pStyle w:val="903"/>
              <w:rPr>
                <w:color w:val="000000"/>
                <w:lang w:val="zh-CN"/>
              </w:rPr>
            </w:pPr>
            <w:r>
              <w:rPr>
                <w:color w:val="000000"/>
                <w:lang w:val="zh-CN"/>
              </w:rPr>
              <w:t xml:space="preserve">根据</w:t>
            </w:r>
            <w:r>
              <w:rPr>
                <w:color w:val="000000"/>
              </w:rPr>
              <w:t xml:space="preserve">投标人</w:t>
            </w:r>
            <w:r>
              <w:rPr>
                <w:color w:val="000000"/>
                <w:lang w:val="zh-CN"/>
              </w:rPr>
              <w:t xml:space="preserve">的</w:t>
            </w:r>
            <w:r>
              <w:rPr>
                <w:color w:val="000000"/>
              </w:rPr>
              <w:t xml:space="preserve">技术</w:t>
            </w:r>
            <w:r>
              <w:rPr>
                <w:color w:val="000000"/>
                <w:lang w:val="zh-CN"/>
              </w:rPr>
              <w:t xml:space="preserve">响应情况评分。所投产品及服务全部符合采购文件第四章：</w:t>
            </w:r>
            <w:r>
              <w:rPr>
                <w:color w:val="000000"/>
              </w:rPr>
              <w:t xml:space="preserve">四、技术要求 采购包1 </w:t>
            </w:r>
            <w:r>
              <w:rPr>
                <w:color w:val="000000"/>
                <w:lang w:val="zh-CN"/>
              </w:rPr>
              <w:t xml:space="preserve">技术指标中要求的得</w:t>
            </w:r>
            <w:r>
              <w:rPr>
                <w:color w:val="000000"/>
              </w:rPr>
              <w:t xml:space="preserve">28</w:t>
            </w:r>
            <w:r>
              <w:rPr>
                <w:color w:val="000000"/>
                <w:lang w:val="zh-CN"/>
              </w:rPr>
              <w:t xml:space="preserve">分；其中带</w:t>
            </w:r>
            <w:r>
              <w:rPr>
                <w:rFonts w:hint="eastAsia" w:ascii="宋体" w:hAnsi="宋体" w:cs="宋体"/>
                <w:color w:val="000000"/>
                <w:lang w:val="zh-CN"/>
              </w:rPr>
              <w:t xml:space="preserve">★</w:t>
            </w:r>
            <w:r>
              <w:rPr>
                <w:color w:val="000000"/>
                <w:lang w:val="zh-CN"/>
              </w:rPr>
              <w:t xml:space="preserve">内容有负偏离的每项扣</w:t>
            </w:r>
            <w:r>
              <w:rPr>
                <w:color w:val="000000"/>
              </w:rPr>
              <w:t xml:space="preserve">1</w:t>
            </w:r>
            <w:r>
              <w:rPr>
                <w:color w:val="000000"/>
                <w:lang w:val="zh-CN"/>
              </w:rPr>
              <w:t xml:space="preserve">分（</w:t>
            </w:r>
            <w:r>
              <w:rPr>
                <w:color w:val="000000"/>
              </w:rPr>
              <w:t xml:space="preserve">共28项</w:t>
            </w:r>
            <w:r>
              <w:rPr>
                <w:color w:val="000000"/>
                <w:lang w:val="zh-CN"/>
              </w:rPr>
              <w:t xml:space="preserve">），扣完为止。</w:t>
            </w:r>
            <w:r/>
          </w:p>
          <w:p>
            <w:pPr>
              <w:pStyle w:val="903"/>
              <w:rPr>
                <w:color w:val="000000"/>
                <w:lang w:val="zh-CN"/>
              </w:rPr>
            </w:pPr>
            <w:r>
              <w:rPr>
                <w:color w:val="000000"/>
              </w:rPr>
              <w:t xml:space="preserve">（投标人需按照本采购文件的技术指标要求和其他要求等，在“技术参数响应偏离表”以及“商务条款响应偏离表”中如实详细填列所投产品的参数及服务承诺，并按照采购要求提供产品的技术参数的证明材料，未提供有效证明材料的不得分。）</w:t>
            </w:r>
            <w:r>
              <w:rPr>
                <w:color w:val="000000"/>
                <w:lang w:val="zh-CN"/>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widowControl/>
              <w:rPr>
                <w:color w:val="000000"/>
                <w:sz w:val="24"/>
                <w:szCs w:val="24"/>
              </w:rPr>
            </w:pPr>
            <w:r>
              <w:rPr>
                <w:color w:val="000000"/>
                <w:sz w:val="24"/>
                <w:szCs w:val="24"/>
              </w:rPr>
              <w:t xml:space="preserve">28</w:t>
            </w:r>
            <w:r/>
          </w:p>
        </w:tc>
      </w:tr>
      <w:tr>
        <w:trPr>
          <w:trHeight w:val="55"/>
        </w:trPr>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03"/>
              <w:jc w:val="center"/>
              <w:widowControl/>
              <w:rPr>
                <w:color w:val="000000"/>
                <w:sz w:val="24"/>
                <w:szCs w:val="24"/>
              </w:rPr>
            </w:pPr>
            <w:r>
              <w:rPr>
                <w:color w:val="000000"/>
                <w:sz w:val="24"/>
                <w:szCs w:val="24"/>
              </w:rPr>
              <w:t xml:space="preserve">2.2</w:t>
            </w:r>
            <w:r/>
          </w:p>
          <w:p>
            <w:pPr>
              <w:pStyle w:val="903"/>
              <w:jc w:val="center"/>
              <w:widowControl/>
              <w:rPr>
                <w:color w:val="000000"/>
                <w:sz w:val="24"/>
                <w:szCs w:val="24"/>
              </w:rPr>
            </w:pPr>
            <w:r>
              <w:rPr>
                <w:color w:val="000000"/>
                <w:sz w:val="24"/>
                <w:szCs w:val="24"/>
              </w:rPr>
              <w:t xml:space="preserve">总体技术方案</w:t>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lang w:val="zh-CN"/>
              </w:rPr>
            </w:pPr>
            <w:r>
              <w:rPr>
                <w:color w:val="000000"/>
                <w:lang w:val="zh-CN"/>
              </w:rPr>
              <w:t xml:space="preserve">根据投标单位的投标文件响应情况，以及总体技术方案的技术完整性、可行性、科学性进行综合评分。方案科学完整、详细、切实可行，优于招标文件需求得4分，方案符合招标文件需求得2分，不满足或未提供的不得分。</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4</w:t>
            </w:r>
            <w:r/>
          </w:p>
        </w:tc>
      </w:tr>
      <w:tr>
        <w:trPr>
          <w:trHeight w:val="55"/>
        </w:trPr>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03"/>
              <w:jc w:val="center"/>
              <w:widowControl/>
              <w:rPr>
                <w:color w:val="000000"/>
                <w:sz w:val="24"/>
                <w:szCs w:val="24"/>
              </w:rPr>
            </w:pPr>
            <w:r/>
            <w:bookmarkStart w:id="238" w:name="OLE_LINK4"/>
            <w:r>
              <w:rPr>
                <w:color w:val="000000"/>
                <w:sz w:val="24"/>
                <w:szCs w:val="24"/>
              </w:rPr>
              <w:t xml:space="preserve">2.3</w:t>
            </w:r>
            <w:r/>
          </w:p>
          <w:p>
            <w:pPr>
              <w:pStyle w:val="903"/>
              <w:jc w:val="center"/>
              <w:widowControl/>
              <w:rPr>
                <w:color w:val="000000"/>
                <w:sz w:val="24"/>
                <w:szCs w:val="24"/>
              </w:rPr>
            </w:pPr>
            <w:r>
              <w:rPr>
                <w:color w:val="000000"/>
                <w:sz w:val="24"/>
                <w:szCs w:val="24"/>
              </w:rPr>
              <w:t xml:space="preserve">项目实施方案</w:t>
            </w:r>
            <w:bookmarkEnd w:id="238"/>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lang w:val="zh-CN"/>
              </w:rPr>
            </w:pPr>
            <w:r>
              <w:rPr>
                <w:color w:val="000000"/>
              </w:rPr>
              <w:t xml:space="preserve">2.3.1</w:t>
            </w:r>
            <w:r>
              <w:rPr>
                <w:color w:val="000000"/>
                <w:lang w:val="zh-CN"/>
              </w:rPr>
              <w:t xml:space="preserve">试点实施承诺：投标人需承诺在中标后配合采购人进行项目试点实施，中标后10天内完成不少于两个地市与省厅的通信线路和网络运营试点工作，期间所需软硬件设备及辅材全部由投标人提供，如测试结果与投标文件响应内容不符，投标人将按照政府采购有关规定承担法律责任。提供项目试点承诺函得1分，每多承诺完成一个地市试点加0.5分。本项满分2分。未提供承诺函或不满足不得分。</w:t>
            </w:r>
            <w:r/>
          </w:p>
          <w:p>
            <w:pPr>
              <w:pStyle w:val="903"/>
              <w:rPr>
                <w:color w:val="000000"/>
                <w:lang w:val="zh-CN"/>
              </w:rPr>
            </w:pPr>
            <w:r>
              <w:rPr>
                <w:color w:val="000000"/>
              </w:rPr>
              <w:t xml:space="preserve">2.3.2</w:t>
            </w:r>
            <w:r>
              <w:rPr>
                <w:color w:val="000000"/>
                <w:lang w:val="zh-CN"/>
              </w:rPr>
              <w:t xml:space="preserve">投标人应提供项目实施方案，方案须包含项目工期计划、实施团队架构、实施内容、质量保障方案、风险控制措施等。优于采购需求的得</w:t>
            </w:r>
            <w:r>
              <w:rPr>
                <w:color w:val="000000"/>
              </w:rPr>
              <w:t xml:space="preserve">2</w:t>
            </w:r>
            <w:r>
              <w:rPr>
                <w:color w:val="000000"/>
                <w:lang w:val="zh-CN"/>
              </w:rPr>
              <w:t xml:space="preserve">分，满足采购需求的得</w:t>
            </w:r>
            <w:r>
              <w:rPr>
                <w:color w:val="000000"/>
              </w:rPr>
              <w:t xml:space="preserve">1</w:t>
            </w:r>
            <w:r>
              <w:rPr>
                <w:color w:val="000000"/>
                <w:lang w:val="zh-CN"/>
              </w:rPr>
              <w:t xml:space="preserve">分，未提供或不满足不得分。</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4</w:t>
            </w:r>
            <w:r/>
          </w:p>
        </w:tc>
      </w:tr>
      <w:tr>
        <w:trPr>
          <w:trHeight w:val="55"/>
        </w:trPr>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03"/>
              <w:jc w:val="center"/>
              <w:widowControl/>
              <w:rPr>
                <w:color w:val="000000"/>
                <w:sz w:val="24"/>
                <w:szCs w:val="24"/>
              </w:rPr>
            </w:pPr>
            <w:r/>
            <w:bookmarkStart w:id="239" w:name="OLE_LINK8"/>
            <w:r>
              <w:rPr>
                <w:color w:val="000000"/>
                <w:sz w:val="24"/>
                <w:szCs w:val="24"/>
              </w:rPr>
              <w:t xml:space="preserve">2.4</w:t>
            </w:r>
            <w:r/>
          </w:p>
          <w:p>
            <w:pPr>
              <w:pStyle w:val="903"/>
              <w:jc w:val="center"/>
              <w:widowControl/>
              <w:rPr>
                <w:color w:val="000000"/>
                <w:sz w:val="24"/>
                <w:szCs w:val="24"/>
              </w:rPr>
            </w:pPr>
            <w:r>
              <w:rPr>
                <w:color w:val="000000"/>
                <w:sz w:val="24"/>
                <w:szCs w:val="24"/>
              </w:rPr>
              <w:t xml:space="preserve">线路割接方案</w:t>
            </w:r>
            <w:bookmarkEnd w:id="239"/>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lang w:val="zh-CN"/>
              </w:rPr>
            </w:pPr>
            <w:r>
              <w:rPr>
                <w:color w:val="000000"/>
                <w:lang w:val="zh-CN"/>
              </w:rPr>
              <w:t xml:space="preserve">为保障业务和线路的平稳过渡，投标人应针对互联网专线宽带、互联网区运维应急通道、裸光纤接入制定符合项目需求的线路割接方案。</w:t>
            </w:r>
            <w:r/>
          </w:p>
          <w:p>
            <w:pPr>
              <w:pStyle w:val="903"/>
              <w:rPr>
                <w:color w:val="000000"/>
                <w:lang w:val="zh-CN"/>
              </w:rPr>
            </w:pPr>
            <w:r>
              <w:rPr>
                <w:color w:val="000000"/>
                <w:lang w:val="zh-CN"/>
              </w:rPr>
              <w:t xml:space="preserve">2.</w:t>
            </w:r>
            <w:r>
              <w:rPr>
                <w:color w:val="000000"/>
              </w:rPr>
              <w:t xml:space="preserve">4</w:t>
            </w:r>
            <w:r>
              <w:rPr>
                <w:color w:val="000000"/>
                <w:lang w:val="zh-CN"/>
              </w:rPr>
              <w:t xml:space="preserve">.1</w:t>
            </w:r>
            <w:r>
              <w:rPr>
                <w:color w:val="000000"/>
              </w:rPr>
              <w:t xml:space="preserve"> </w:t>
            </w:r>
            <w:r>
              <w:rPr>
                <w:color w:val="000000"/>
                <w:lang w:val="zh-CN"/>
              </w:rPr>
              <w:t xml:space="preserve">通过技术手段保障，承诺完全不影响系统运行和用户使用的，得2分；承诺影响时间在1小时（含）以内的，得1分；承诺影响时间超过1小时、或未提供承诺的，不得分。（割接安排及影响时间估算需真实、可行）</w:t>
            </w:r>
            <w:r/>
          </w:p>
          <w:p>
            <w:pPr>
              <w:pStyle w:val="903"/>
              <w:rPr>
                <w:color w:val="000000"/>
                <w:lang w:val="zh-CN"/>
              </w:rPr>
            </w:pPr>
            <w:r>
              <w:rPr>
                <w:color w:val="000000"/>
                <w:lang w:val="zh-CN"/>
              </w:rPr>
              <w:t xml:space="preserve">2.</w:t>
            </w:r>
            <w:r>
              <w:rPr>
                <w:color w:val="000000"/>
              </w:rPr>
              <w:t xml:space="preserve">4.2 </w:t>
            </w:r>
            <w:r>
              <w:rPr>
                <w:color w:val="000000"/>
                <w:lang w:val="zh-CN"/>
              </w:rPr>
              <w:t xml:space="preserve">线路割接方案优于项目需求的得3分，符合项目需求的得2分，不符合或未提供的得0分。</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5</w:t>
            </w:r>
            <w:r/>
          </w:p>
        </w:tc>
      </w:tr>
      <w:tr>
        <w:trPr>
          <w:trHeight w:val="551"/>
        </w:trPr>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03"/>
              <w:jc w:val="center"/>
              <w:widowControl/>
              <w:rPr>
                <w:color w:val="000000"/>
                <w:sz w:val="24"/>
                <w:szCs w:val="24"/>
              </w:rPr>
            </w:pPr>
            <w:r>
              <w:rPr>
                <w:color w:val="000000"/>
                <w:sz w:val="24"/>
                <w:szCs w:val="24"/>
              </w:rPr>
              <w:t xml:space="preserve">2.5</w:t>
            </w:r>
            <w:r/>
          </w:p>
          <w:p>
            <w:pPr>
              <w:pStyle w:val="903"/>
              <w:jc w:val="center"/>
              <w:widowControl/>
              <w:rPr>
                <w:color w:val="000000"/>
                <w:sz w:val="24"/>
                <w:szCs w:val="24"/>
              </w:rPr>
            </w:pPr>
            <w:r>
              <w:rPr>
                <w:color w:val="000000"/>
                <w:sz w:val="24"/>
                <w:szCs w:val="24"/>
              </w:rPr>
              <w:t xml:space="preserve">售后服务方案</w:t>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lang w:val="zh-CN"/>
              </w:rPr>
            </w:pPr>
            <w:r>
              <w:rPr>
                <w:color w:val="000000"/>
                <w:lang w:val="zh-CN"/>
              </w:rPr>
              <w:t xml:space="preserve">投标人提供维护服务保障体系和完整合理的服务方案，内容包含；服务机构、服务内容、响应时间、故障处理、恢复时效、人员力量、支撑保障等内容。方案优于招标文件要求得3分、满足招标文件要求得2分、不满足或未提供的不得分。</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3</w:t>
            </w:r>
            <w:r/>
          </w:p>
        </w:tc>
      </w:tr>
      <w:tr>
        <w:trPr>
          <w:trHeight w:val="957"/>
        </w:trPr>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03"/>
              <w:jc w:val="center"/>
              <w:widowControl/>
              <w:rPr>
                <w:color w:val="000000"/>
                <w:sz w:val="24"/>
                <w:szCs w:val="24"/>
              </w:rPr>
            </w:pPr>
            <w:r>
              <w:rPr>
                <w:color w:val="000000"/>
                <w:sz w:val="24"/>
                <w:szCs w:val="24"/>
              </w:rPr>
              <w:t xml:space="preserve">2.6</w:t>
            </w:r>
            <w:r/>
          </w:p>
          <w:p>
            <w:pPr>
              <w:pStyle w:val="903"/>
              <w:jc w:val="center"/>
              <w:widowControl/>
              <w:rPr>
                <w:color w:val="000000"/>
                <w:sz w:val="24"/>
                <w:szCs w:val="24"/>
              </w:rPr>
            </w:pPr>
            <w:r>
              <w:rPr>
                <w:color w:val="000000"/>
                <w:sz w:val="24"/>
                <w:szCs w:val="24"/>
              </w:rPr>
              <w:t xml:space="preserve">网络安全服务方案</w:t>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lang w:val="zh-CN"/>
              </w:rPr>
            </w:pPr>
            <w:r>
              <w:rPr>
                <w:color w:val="000000"/>
                <w:lang w:val="zh-CN"/>
              </w:rPr>
              <w:t xml:space="preserve">投标人应根据项目需求提供具体详实的网络安全服务方案，方案需科学有效且具有可操作性。方案优于项目需求的得3分，符合项目需求的得2分，不符合或未提供的得0分。</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3</w:t>
            </w:r>
            <w:r/>
          </w:p>
        </w:tc>
      </w:tr>
      <w:tr>
        <w:trPr>
          <w:trHeight w:val="90"/>
        </w:trPr>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03"/>
              <w:jc w:val="center"/>
              <w:widowControl/>
              <w:rPr>
                <w:color w:val="000000"/>
                <w:sz w:val="24"/>
                <w:szCs w:val="24"/>
              </w:rPr>
            </w:pPr>
            <w:r/>
            <w:bookmarkStart w:id="240" w:name="OLE_LINK9"/>
            <w:r>
              <w:rPr>
                <w:color w:val="000000"/>
                <w:sz w:val="24"/>
                <w:szCs w:val="24"/>
              </w:rPr>
              <w:t xml:space="preserve">2.7</w:t>
            </w:r>
            <w:r/>
          </w:p>
          <w:p>
            <w:pPr>
              <w:pStyle w:val="903"/>
              <w:jc w:val="center"/>
              <w:widowControl/>
              <w:rPr>
                <w:color w:val="000000"/>
                <w:sz w:val="24"/>
                <w:szCs w:val="24"/>
              </w:rPr>
            </w:pPr>
            <w:r>
              <w:rPr>
                <w:color w:val="000000"/>
                <w:sz w:val="24"/>
                <w:szCs w:val="24"/>
              </w:rPr>
              <w:t xml:space="preserve">应急保障方案</w:t>
            </w:r>
            <w:bookmarkEnd w:id="240"/>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lang w:val="zh-CN"/>
              </w:rPr>
            </w:pPr>
            <w:r>
              <w:rPr>
                <w:color w:val="000000"/>
                <w:lang w:val="zh-CN"/>
              </w:rPr>
              <w:t xml:space="preserve">投标人应提供科学、合理、详细的应急保障方案，且有可供应急使用的备品备件库。方案优于项目需求的得3分，符合项目需求的得2分，不符合或未提供的得0分。</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3</w:t>
            </w:r>
            <w:r/>
          </w:p>
        </w:tc>
      </w:tr>
      <w:tr>
        <w:trPr>
          <w:trHeight w:val="1020"/>
        </w:trPr>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03"/>
              <w:jc w:val="center"/>
              <w:widowControl/>
              <w:rPr>
                <w:color w:val="000000"/>
                <w:sz w:val="24"/>
                <w:szCs w:val="24"/>
              </w:rPr>
            </w:pPr>
            <w:r>
              <w:rPr>
                <w:color w:val="000000"/>
                <w:sz w:val="24"/>
                <w:szCs w:val="24"/>
              </w:rPr>
              <w:t xml:space="preserve">2.8</w:t>
            </w:r>
            <w:r/>
          </w:p>
          <w:p>
            <w:pPr>
              <w:pStyle w:val="903"/>
              <w:jc w:val="center"/>
              <w:widowControl/>
              <w:rPr>
                <w:color w:val="000000"/>
                <w:sz w:val="24"/>
                <w:szCs w:val="24"/>
              </w:rPr>
            </w:pPr>
            <w:r>
              <w:rPr>
                <w:color w:val="000000"/>
                <w:sz w:val="24"/>
                <w:szCs w:val="24"/>
              </w:rPr>
              <w:t xml:space="preserve">本地化服务方案</w:t>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lang w:val="zh-CN"/>
              </w:rPr>
            </w:pPr>
            <w:r>
              <w:rPr>
                <w:color w:val="000000"/>
                <w:lang w:val="zh-CN"/>
              </w:rPr>
              <w:t xml:space="preserve">投标人提供</w:t>
            </w:r>
            <w:r>
              <w:rPr>
                <w:color w:val="000000"/>
              </w:rPr>
              <w:t xml:space="preserve">江苏全省</w:t>
            </w:r>
            <w:r>
              <w:rPr>
                <w:color w:val="000000"/>
                <w:lang w:val="zh-CN"/>
              </w:rPr>
              <w:t xml:space="preserve">省、市、县三级本地化服务能力</w:t>
            </w:r>
            <w:r>
              <w:rPr>
                <w:color w:val="000000"/>
              </w:rPr>
              <w:t xml:space="preserve">方案</w:t>
            </w:r>
            <w:r>
              <w:rPr>
                <w:color w:val="000000"/>
                <w:lang w:val="zh-CN"/>
              </w:rPr>
              <w:t xml:space="preserve">。方案优于项目需求的得</w:t>
            </w:r>
            <w:r>
              <w:rPr>
                <w:color w:val="000000"/>
              </w:rPr>
              <w:t xml:space="preserve">3</w:t>
            </w:r>
            <w:r>
              <w:rPr>
                <w:color w:val="000000"/>
                <w:lang w:val="zh-CN"/>
              </w:rPr>
              <w:t xml:space="preserve">分，符合项目需求的得</w:t>
            </w:r>
            <w:r>
              <w:rPr>
                <w:color w:val="000000"/>
              </w:rPr>
              <w:t xml:space="preserve">2</w:t>
            </w:r>
            <w:r>
              <w:rPr>
                <w:color w:val="000000"/>
                <w:lang w:val="zh-CN"/>
              </w:rPr>
              <w:t xml:space="preserve">分，不符合或未提供的得0分。</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3</w:t>
            </w:r>
            <w:r/>
          </w:p>
        </w:tc>
      </w:tr>
      <w:tr>
        <w:trPr>
          <w:trHeight w:val="1020"/>
        </w:trPr>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03"/>
              <w:jc w:val="center"/>
              <w:widowControl/>
              <w:rPr>
                <w:color w:val="000000"/>
                <w:sz w:val="24"/>
                <w:szCs w:val="24"/>
              </w:rPr>
            </w:pPr>
            <w:r/>
            <w:bookmarkStart w:id="241" w:name="OLE_LINK10"/>
            <w:r>
              <w:rPr>
                <w:color w:val="000000"/>
                <w:sz w:val="24"/>
                <w:szCs w:val="24"/>
              </w:rPr>
              <w:t xml:space="preserve">2.9</w:t>
            </w:r>
            <w:r/>
          </w:p>
          <w:p>
            <w:pPr>
              <w:pStyle w:val="903"/>
              <w:jc w:val="center"/>
              <w:widowControl/>
              <w:rPr>
                <w:color w:val="000000"/>
                <w:sz w:val="24"/>
                <w:szCs w:val="24"/>
              </w:rPr>
            </w:pPr>
            <w:r>
              <w:rPr>
                <w:color w:val="000000"/>
                <w:sz w:val="24"/>
                <w:szCs w:val="24"/>
              </w:rPr>
              <w:t xml:space="preserve">培训方案</w:t>
            </w:r>
            <w:bookmarkEnd w:id="241"/>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rPr>
            </w:pPr>
            <w:r>
              <w:rPr>
                <w:color w:val="000000"/>
              </w:rPr>
              <w:t xml:space="preserve">根据投标人提供的</w:t>
            </w:r>
            <w:r>
              <w:rPr>
                <w:color w:val="000000"/>
                <w:sz w:val="22"/>
                <w:szCs w:val="22"/>
                <w:lang w:bidi="ar"/>
              </w:rPr>
              <w:t xml:space="preserve">培训</w:t>
            </w:r>
            <w:r>
              <w:rPr>
                <w:color w:val="000000"/>
              </w:rPr>
              <w:t xml:space="preserve">方案进行打分。优于项目需求的得3分，符合项目需求的得2分，不符合项目需求或未提供的不得分。</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3</w:t>
            </w:r>
            <w:r/>
          </w:p>
        </w:tc>
      </w:tr>
      <w:tr>
        <w:trPr>
          <w:trHeight w:val="1020"/>
        </w:trPr>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03"/>
              <w:jc w:val="center"/>
              <w:widowControl/>
              <w:rPr>
                <w:color w:val="000000"/>
                <w:sz w:val="24"/>
                <w:szCs w:val="24"/>
              </w:rPr>
            </w:pPr>
            <w:r/>
            <w:bookmarkStart w:id="242" w:name="OLE_LINK12"/>
            <w:r>
              <w:rPr>
                <w:color w:val="000000"/>
                <w:sz w:val="24"/>
                <w:szCs w:val="24"/>
              </w:rPr>
              <w:t xml:space="preserve">2.10机房运营及灾备服务方案</w:t>
            </w:r>
            <w:bookmarkEnd w:id="242"/>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rPr>
            </w:pPr>
            <w:r>
              <w:rPr>
                <w:color w:val="000000"/>
              </w:rPr>
              <w:t xml:space="preserve">投标人应提供机房运营及灾备服务方案，包括但不限于机房温湿度监控、机房配电监控、巡检、远程技术支撑等。</w:t>
            </w:r>
            <w:r/>
          </w:p>
          <w:p>
            <w:pPr>
              <w:pStyle w:val="903"/>
              <w:rPr>
                <w:color w:val="000000"/>
              </w:rPr>
            </w:pPr>
            <w:r>
              <w:rPr>
                <w:color w:val="000000"/>
              </w:rPr>
              <w:t xml:space="preserve">优于采购需求的得3分，满足采购需求的得2分，未提供或不满足不得分。</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3</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9037" w:type="dxa"/>
            <w:vAlign w:val="center"/>
            <w:textDirection w:val="lrTb"/>
            <w:noWrap w:val="false"/>
          </w:tcPr>
          <w:p>
            <w:pPr>
              <w:pStyle w:val="903"/>
              <w:ind w:firstLine="480"/>
              <w:rPr>
                <w:color w:val="000000"/>
                <w:sz w:val="24"/>
                <w:szCs w:val="24"/>
                <w:lang w:val="zh-CN"/>
              </w:rPr>
            </w:pPr>
            <w:r/>
            <w:bookmarkEnd w:id="235"/>
            <w:r/>
            <w:bookmarkEnd w:id="236"/>
            <w:r/>
            <w:bookmarkEnd w:id="237"/>
            <w:r>
              <w:rPr>
                <w:color w:val="000000"/>
                <w:sz w:val="24"/>
                <w:szCs w:val="24"/>
                <w:lang w:val="zh-CN"/>
              </w:rPr>
              <w:t xml:space="preserve">三、商务部分</w:t>
            </w:r>
            <w:r>
              <w:rPr>
                <w:color w:val="000000"/>
                <w:sz w:val="22"/>
                <w:szCs w:val="22"/>
                <w:lang w:val="zh-CN" w:bidi="ar"/>
              </w:rPr>
              <w:t xml:space="preserve">（</w:t>
            </w:r>
            <w:r>
              <w:rPr>
                <w:color w:val="000000"/>
                <w:sz w:val="22"/>
                <w:szCs w:val="22"/>
                <w:lang w:bidi="ar"/>
              </w:rPr>
              <w:t xml:space="preserve">31</w:t>
            </w:r>
            <w:r>
              <w:rPr>
                <w:color w:val="000000"/>
                <w:sz w:val="22"/>
                <w:szCs w:val="22"/>
                <w:lang w:val="zh-CN" w:bidi="ar"/>
              </w:rPr>
              <w:t xml:space="preserve">分）</w:t>
            </w:r>
            <w:r>
              <w:rPr>
                <w:color w:val="000000"/>
                <w:sz w:val="24"/>
                <w:szCs w:val="24"/>
                <w:lang w:val="zh-CN"/>
              </w:rPr>
            </w:r>
            <w:r/>
          </w:p>
        </w:tc>
      </w:tr>
      <w:tr>
        <w:trPr>
          <w:cantSplit/>
          <w:trHeight w:val="230"/>
        </w:trPr>
        <w:tc>
          <w:tcPr>
            <w:tcBorders>
              <w:top w:val="single" w:color="000000" w:sz="4" w:space="0"/>
              <w:left w:val="single" w:color="000000" w:sz="4" w:space="0"/>
              <w:bottom w:val="single" w:color="000000" w:sz="4" w:space="0"/>
              <w:right w:val="single" w:color="000000" w:sz="4" w:space="0"/>
            </w:tcBorders>
            <w:tcW w:w="2149" w:type="dxa"/>
            <w:vAlign w:val="center"/>
            <w:vMerge w:val="restart"/>
            <w:textDirection w:val="lrTb"/>
            <w:noWrap w:val="false"/>
          </w:tcPr>
          <w:p>
            <w:pPr>
              <w:pStyle w:val="903"/>
              <w:jc w:val="center"/>
              <w:widowControl/>
              <w:rPr>
                <w:color w:val="000000"/>
                <w:sz w:val="24"/>
                <w:szCs w:val="24"/>
              </w:rPr>
            </w:pPr>
            <w:r/>
            <w:bookmarkStart w:id="243" w:name="OLE_LINK14"/>
            <w:r/>
            <w:bookmarkStart w:id="244" w:name="OLE_LINK13"/>
            <w:r/>
            <w:bookmarkStart w:id="245" w:name="_Hlk227227888"/>
            <w:r>
              <w:rPr>
                <w:color w:val="000000"/>
                <w:sz w:val="24"/>
                <w:szCs w:val="24"/>
              </w:rPr>
              <w:t xml:space="preserve">3.1</w:t>
            </w:r>
            <w:r/>
          </w:p>
          <w:p>
            <w:pPr>
              <w:pStyle w:val="903"/>
              <w:jc w:val="center"/>
              <w:widowControl/>
              <w:rPr>
                <w:color w:val="000000"/>
                <w:sz w:val="24"/>
                <w:szCs w:val="24"/>
              </w:rPr>
            </w:pPr>
            <w:r>
              <w:rPr>
                <w:color w:val="000000"/>
                <w:sz w:val="24"/>
                <w:szCs w:val="24"/>
              </w:rPr>
              <w:t xml:space="preserve">企业资质</w:t>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sz w:val="24"/>
                <w:szCs w:val="24"/>
                <w:lang w:val="zh-CN"/>
              </w:rPr>
            </w:pPr>
            <w:r>
              <w:rPr>
                <w:color w:val="000000"/>
                <w:lang w:bidi="ar"/>
              </w:rPr>
              <w:t xml:space="preserve">3.1.1</w:t>
            </w:r>
            <w:r>
              <w:rPr>
                <w:color w:val="000000"/>
                <w:sz w:val="22"/>
                <w:szCs w:val="22"/>
                <w:lang w:bidi="ar"/>
              </w:rPr>
              <w:t xml:space="preserve">投标人具有国家认证认可监督管理委员会认可的机构颁发的有效期内的ISO9001质量管理体系认证、ISO20000信息技术服务管理体系认证、ISO27001信息安全管理体系认证。每提供1个得1分，不提供不得分，最高得3分。（提供有效证书扫描件或复印件并加盖投标人公章）</w:t>
            </w:r>
            <w:r>
              <w:rPr>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3</w:t>
            </w:r>
            <w:r/>
          </w:p>
        </w:tc>
      </w:tr>
      <w:tr>
        <w:trPr>
          <w:cantSplit/>
          <w:trHeight w:val="230"/>
        </w:trPr>
        <w:tc>
          <w:tcPr>
            <w:tcBorders>
              <w:top w:val="single" w:color="000000" w:sz="4" w:space="0"/>
              <w:left w:val="single" w:color="000000" w:sz="4" w:space="0"/>
              <w:bottom w:val="single" w:color="000000" w:sz="4" w:space="0"/>
              <w:right w:val="single" w:color="000000" w:sz="4" w:space="0"/>
            </w:tcBorders>
            <w:tcW w:w="2149" w:type="dxa"/>
            <w:vAlign w:val="center"/>
            <w:vMerge w:val="continue"/>
            <w:textDirection w:val="lrTb"/>
            <w:noWrap w:val="false"/>
          </w:tcPr>
          <w:p>
            <w:pPr>
              <w:pStyle w:val="903"/>
              <w:jc w:val="center"/>
              <w:widowControl/>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lang w:bidi="ar"/>
              </w:rPr>
            </w:pPr>
            <w:r>
              <w:rPr>
                <w:color w:val="000000"/>
                <w:lang w:bidi="ar"/>
              </w:rPr>
              <w:t xml:space="preserve">3.1.2</w:t>
            </w:r>
            <w:r>
              <w:rPr>
                <w:color w:val="000000"/>
                <w:sz w:val="22"/>
                <w:szCs w:val="22"/>
                <w:lang w:bidi="ar"/>
              </w:rPr>
              <w:t xml:space="preserve">投标人具有中国信息安全测评中心颁发的国家信息安全漏洞库（CNNVD）技术支撑单位证书，具有中国通信工业协会颁发的信息系统业务安全服务资质证书，每提供1个得2分，不提供不得分，最高得4分。（提供有效证书扫描件或复印件并加盖投标人公章）</w:t>
            </w:r>
            <w:r>
              <w:rPr>
                <w:color w:val="000000"/>
                <w:lang w:bidi="ar"/>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4</w:t>
            </w:r>
            <w:r/>
          </w:p>
        </w:tc>
      </w:tr>
      <w:tr>
        <w:trPr>
          <w:cantSplit/>
          <w:trHeight w:val="90"/>
        </w:trPr>
        <w:tc>
          <w:tcPr>
            <w:tcBorders>
              <w:top w:val="single" w:color="000000" w:sz="4" w:space="0"/>
              <w:left w:val="single" w:color="000000" w:sz="4" w:space="0"/>
              <w:bottom w:val="single" w:color="000000" w:sz="4" w:space="0"/>
              <w:right w:val="single" w:color="000000" w:sz="4" w:space="0"/>
            </w:tcBorders>
            <w:tcW w:w="2149" w:type="dxa"/>
            <w:vAlign w:val="center"/>
            <w:vMerge w:val="continue"/>
            <w:textDirection w:val="lrTb"/>
            <w:noWrap w:val="false"/>
          </w:tcPr>
          <w:p>
            <w:pPr>
              <w:pStyle w:val="903"/>
              <w:jc w:val="left"/>
              <w:widowControl/>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sz w:val="24"/>
                <w:szCs w:val="24"/>
                <w:lang w:val="zh-CN"/>
              </w:rPr>
            </w:pPr>
            <w:r>
              <w:rPr>
                <w:color w:val="000000"/>
                <w:lang w:bidi="ar"/>
              </w:rPr>
              <w:t xml:space="preserve">3.1.3投标人具有GB/T 30146-2023业务连续性管理体系认证证书、GB/T 37228-2025应急预案管理体系认证证书、GB/T 35966-2018 高技术质</w:t>
            </w:r>
            <w:r>
              <w:rPr>
                <w:color w:val="000000"/>
              </w:rPr>
              <w:t xml:space="preserve">量服务认证证书</w:t>
            </w:r>
            <w:r>
              <w:rPr>
                <w:color w:val="000000"/>
                <w:lang w:bidi="ar"/>
              </w:rPr>
              <w:t xml:space="preserve">每提供1个得2分，不提供不得分，最高得6分。（提供有效证书扫描件</w:t>
            </w:r>
            <w:r>
              <w:rPr>
                <w:color w:val="000000"/>
                <w:sz w:val="22"/>
                <w:szCs w:val="22"/>
                <w:lang w:bidi="ar"/>
              </w:rPr>
              <w:t xml:space="preserve">或复印件</w:t>
            </w:r>
            <w:r>
              <w:rPr>
                <w:color w:val="000000"/>
                <w:lang w:bidi="ar"/>
              </w:rPr>
              <w:t xml:space="preserve">并加盖投标人公章）</w:t>
            </w:r>
            <w:r>
              <w:rPr>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6</w:t>
            </w:r>
            <w:r/>
          </w:p>
        </w:tc>
      </w:tr>
      <w:tr>
        <w:trPr>
          <w:cantSplit/>
          <w:trHeight w:val="90"/>
        </w:trPr>
        <w:tc>
          <w:tcPr>
            <w:tcBorders>
              <w:top w:val="single" w:color="000000" w:sz="4" w:space="0"/>
              <w:left w:val="single" w:color="000000" w:sz="4" w:space="0"/>
              <w:bottom w:val="single" w:color="000000" w:sz="4" w:space="0"/>
              <w:right w:val="single" w:color="000000" w:sz="4" w:space="0"/>
            </w:tcBorders>
            <w:tcW w:w="2149" w:type="dxa"/>
            <w:vAlign w:val="center"/>
            <w:vMerge w:val="restart"/>
            <w:textDirection w:val="lrTb"/>
            <w:noWrap w:val="false"/>
          </w:tcPr>
          <w:p>
            <w:pPr>
              <w:pStyle w:val="903"/>
              <w:jc w:val="center"/>
              <w:widowControl/>
              <w:rPr>
                <w:color w:val="000000"/>
                <w:sz w:val="24"/>
                <w:szCs w:val="24"/>
              </w:rPr>
            </w:pPr>
            <w:r>
              <w:rPr>
                <w:color w:val="000000"/>
                <w:sz w:val="24"/>
                <w:szCs w:val="24"/>
              </w:rPr>
              <w:t xml:space="preserve">3.2</w:t>
            </w:r>
            <w:r/>
          </w:p>
          <w:p>
            <w:pPr>
              <w:pStyle w:val="903"/>
              <w:jc w:val="center"/>
              <w:widowControl/>
              <w:rPr>
                <w:color w:val="000000"/>
                <w:sz w:val="24"/>
                <w:szCs w:val="24"/>
              </w:rPr>
            </w:pPr>
            <w:r>
              <w:rPr>
                <w:color w:val="000000"/>
                <w:sz w:val="24"/>
                <w:szCs w:val="24"/>
              </w:rPr>
              <w:t xml:space="preserve">项目团队人员</w:t>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lang w:val="zh-CN"/>
              </w:rPr>
            </w:pPr>
            <w:r>
              <w:rPr>
                <w:color w:val="000000"/>
                <w:lang w:val="zh-CN"/>
              </w:rPr>
              <w:t xml:space="preserve">3.2.1投标人需针对本项目组建项目服务团队，配备1名项目经理，项目经理具备</w:t>
            </w:r>
            <w:bookmarkStart w:id="246" w:name="OLE_LINK6"/>
            <w:r>
              <w:rPr>
                <w:color w:val="000000"/>
                <w:lang w:val="zh-CN"/>
              </w:rPr>
              <w:t xml:space="preserve">高级工程师证书</w:t>
            </w:r>
            <w:bookmarkEnd w:id="246"/>
            <w:r>
              <w:rPr>
                <w:color w:val="000000"/>
                <w:lang w:val="zh-CN"/>
              </w:rPr>
              <w:t xml:space="preserve">（通信工程或电子信息类）、ITSS IT服务项目经理证书、一级建造师（通信与广电工程）、网络安全能力认证证书CCSC证书。每提供1类证书得1分，最高得</w:t>
            </w:r>
            <w:r>
              <w:rPr>
                <w:color w:val="000000"/>
              </w:rPr>
              <w:t xml:space="preserve">4</w:t>
            </w:r>
            <w:r>
              <w:rPr>
                <w:color w:val="000000"/>
                <w:lang w:val="zh-CN"/>
              </w:rPr>
              <w:t xml:space="preserve">分。（提供证书复印件、投标人近</w:t>
            </w:r>
            <w:r>
              <w:rPr>
                <w:color w:val="000000"/>
              </w:rPr>
              <w:t xml:space="preserve">3</w:t>
            </w:r>
            <w:r>
              <w:rPr>
                <w:color w:val="000000"/>
                <w:lang w:val="zh-CN"/>
              </w:rPr>
              <w:t xml:space="preserve">个月为其缴纳任意1个月的社保缴费证明材料并加盖公章）</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4</w:t>
            </w:r>
            <w:r/>
          </w:p>
        </w:tc>
      </w:tr>
      <w:tr>
        <w:trPr>
          <w:cantSplit/>
          <w:trHeight w:val="90"/>
        </w:trPr>
        <w:tc>
          <w:tcPr>
            <w:tcBorders>
              <w:top w:val="single" w:color="000000" w:sz="4" w:space="0"/>
              <w:left w:val="single" w:color="000000" w:sz="4" w:space="0"/>
              <w:bottom w:val="single" w:color="000000" w:sz="4" w:space="0"/>
              <w:right w:val="single" w:color="000000" w:sz="4" w:space="0"/>
            </w:tcBorders>
            <w:tcW w:w="2149" w:type="dxa"/>
            <w:vAlign w:val="center"/>
            <w:vMerge w:val="continue"/>
            <w:textDirection w:val="lrTb"/>
            <w:noWrap w:val="false"/>
          </w:tcPr>
          <w:p>
            <w:pPr>
              <w:pStyle w:val="903"/>
              <w:jc w:val="center"/>
              <w:widowControl/>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lang w:val="zh-CN"/>
              </w:rPr>
            </w:pPr>
            <w:r>
              <w:rPr>
                <w:color w:val="000000"/>
                <w:lang w:val="zh-CN"/>
              </w:rPr>
              <w:t xml:space="preserve">3.2.2投标人需针对本项目组建项目服务团队，配备1名技术负责人，技术负责人具备高级工程师证书（电子信息类）、信息系统项目管理师证书、系统规划与管理师证书、注册信息安全管理人员（CISP-CISO）证书。每提供1类证书得1分，最高得</w:t>
            </w:r>
            <w:r>
              <w:rPr>
                <w:color w:val="000000"/>
              </w:rPr>
              <w:t xml:space="preserve">4</w:t>
            </w:r>
            <w:r>
              <w:rPr>
                <w:color w:val="000000"/>
                <w:lang w:val="zh-CN"/>
              </w:rPr>
              <w:t xml:space="preserve">分。（提供证书复印件、投标人近</w:t>
            </w:r>
            <w:r>
              <w:rPr>
                <w:color w:val="000000"/>
              </w:rPr>
              <w:t xml:space="preserve">3</w:t>
            </w:r>
            <w:r>
              <w:rPr>
                <w:color w:val="000000"/>
                <w:lang w:val="zh-CN"/>
              </w:rPr>
              <w:t xml:space="preserve">个月为其缴纳任意1个月的社保缴费证明材料并加盖公章）</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4</w:t>
            </w:r>
            <w:r/>
          </w:p>
        </w:tc>
      </w:tr>
      <w:tr>
        <w:trPr>
          <w:cantSplit/>
          <w:trHeight w:val="90"/>
        </w:trPr>
        <w:tc>
          <w:tcPr>
            <w:tcBorders>
              <w:top w:val="single" w:color="000000" w:sz="4" w:space="0"/>
              <w:left w:val="single" w:color="000000" w:sz="4" w:space="0"/>
              <w:bottom w:val="single" w:color="000000" w:sz="4" w:space="0"/>
              <w:right w:val="single" w:color="000000" w:sz="4" w:space="0"/>
            </w:tcBorders>
            <w:tcW w:w="2149" w:type="dxa"/>
            <w:vAlign w:val="center"/>
            <w:vMerge w:val="continue"/>
            <w:textDirection w:val="lrTb"/>
            <w:noWrap w:val="false"/>
          </w:tcPr>
          <w:p>
            <w:pPr>
              <w:pStyle w:val="903"/>
              <w:jc w:val="center"/>
              <w:widowControl/>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lang w:val="zh-CN"/>
              </w:rPr>
            </w:pPr>
            <w:r>
              <w:rPr>
                <w:color w:val="000000"/>
                <w:lang w:val="zh-CN"/>
              </w:rPr>
              <w:t xml:space="preserve">3.2.3投标人需针对本项目组建项目服务团队，配备1名安全负责人，安全负责人具备高级工程师证书（电子信息工程类）、信息系统项目管理师证书、ITSS IT服务工程师证书、注册信息安全管理人员（CISP-CISO）证书，每提供1类证书得1分，最高得</w:t>
            </w:r>
            <w:r>
              <w:rPr>
                <w:color w:val="000000"/>
              </w:rPr>
              <w:t xml:space="preserve">4</w:t>
            </w:r>
            <w:r>
              <w:rPr>
                <w:color w:val="000000"/>
                <w:lang w:val="zh-CN"/>
              </w:rPr>
              <w:t xml:space="preserve">分。（提供证书复印件、投标人近</w:t>
            </w:r>
            <w:r>
              <w:rPr>
                <w:color w:val="000000"/>
              </w:rPr>
              <w:t xml:space="preserve">3</w:t>
            </w:r>
            <w:r>
              <w:rPr>
                <w:color w:val="000000"/>
                <w:lang w:val="zh-CN"/>
              </w:rPr>
              <w:t xml:space="preserve">个月为其缴纳任意1个月的社保缴费证明材料并加盖公章）</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4</w:t>
            </w:r>
            <w:r/>
          </w:p>
        </w:tc>
      </w:tr>
      <w:tr>
        <w:trPr>
          <w:cantSplit/>
          <w:trHeight w:val="90"/>
        </w:trPr>
        <w:tc>
          <w:tcPr>
            <w:tcBorders>
              <w:top w:val="single" w:color="000000" w:sz="4" w:space="0"/>
              <w:left w:val="single" w:color="000000" w:sz="4" w:space="0"/>
              <w:bottom w:val="single" w:color="000000" w:sz="4" w:space="0"/>
              <w:right w:val="single" w:color="000000" w:sz="4" w:space="0"/>
            </w:tcBorders>
            <w:tcW w:w="2149" w:type="dxa"/>
            <w:vAlign w:val="center"/>
            <w:vMerge w:val="continue"/>
            <w:textDirection w:val="lrTb"/>
            <w:noWrap w:val="false"/>
          </w:tcPr>
          <w:p>
            <w:pPr>
              <w:pStyle w:val="903"/>
              <w:jc w:val="left"/>
              <w:widowControl/>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lang w:val="zh-CN"/>
              </w:rPr>
            </w:pPr>
            <w:r>
              <w:rPr>
                <w:color w:val="000000"/>
                <w:lang w:val="zh-CN"/>
              </w:rPr>
              <w:t xml:space="preserve">3.2.4除项目经理，技术负责人，安全负责人外，其它团队成员中有注册信息安全工程师CISP认证证书、高级网络规划</w:t>
            </w:r>
            <w:r>
              <w:rPr>
                <w:color w:val="000000"/>
              </w:rPr>
              <w:t xml:space="preserve">设计</w:t>
            </w:r>
            <w:r>
              <w:rPr>
                <w:color w:val="000000"/>
                <w:lang w:val="zh-CN"/>
              </w:rPr>
              <w:t xml:space="preserve">师、信息安全保障人员认证证书CISAW</w:t>
            </w:r>
            <w:r>
              <w:rPr>
                <w:color w:val="000000"/>
              </w:rPr>
              <w:t xml:space="preserve">（安全运维或应急服务）、注册信息系统安全专家（CISSP），</w:t>
            </w:r>
            <w:r>
              <w:rPr>
                <w:color w:val="000000"/>
                <w:lang w:val="zh-CN"/>
              </w:rPr>
              <w:t xml:space="preserve">每提供1类证书得1分，最高得2分，一人多证按一证计算。</w:t>
            </w:r>
            <w:r/>
          </w:p>
          <w:p>
            <w:pPr>
              <w:pStyle w:val="903"/>
              <w:rPr>
                <w:color w:val="000000"/>
                <w:lang w:val="zh-CN"/>
              </w:rPr>
            </w:pPr>
            <w:r>
              <w:rPr>
                <w:color w:val="000000"/>
                <w:lang w:val="zh-CN"/>
              </w:rPr>
              <w:t xml:space="preserve">（提供投标人近</w:t>
            </w:r>
            <w:r>
              <w:rPr>
                <w:color w:val="000000"/>
              </w:rPr>
              <w:t xml:space="preserve">3</w:t>
            </w:r>
            <w:r>
              <w:rPr>
                <w:color w:val="000000"/>
                <w:lang w:val="zh-CN"/>
              </w:rPr>
              <w:t xml:space="preserve">个月内为以上人员缴纳的任意1个月的社保缴费证明复印件，以及上述人员相关证书复印件，并加盖投标人公章，否则不得分)</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2</w:t>
            </w:r>
            <w:r/>
          </w:p>
        </w:tc>
      </w:tr>
      <w:tr>
        <w:trPr>
          <w:trHeight w:val="1489"/>
        </w:trPr>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val="false"/>
          </w:tcPr>
          <w:p>
            <w:pPr>
              <w:pStyle w:val="903"/>
              <w:jc w:val="center"/>
              <w:widowControl/>
              <w:rPr>
                <w:color w:val="000000"/>
                <w:sz w:val="24"/>
                <w:szCs w:val="24"/>
              </w:rPr>
            </w:pPr>
            <w:r>
              <w:rPr>
                <w:color w:val="000000"/>
                <w:sz w:val="24"/>
                <w:szCs w:val="24"/>
              </w:rPr>
              <w:t xml:space="preserve">3.3</w:t>
            </w:r>
            <w:r/>
          </w:p>
          <w:p>
            <w:pPr>
              <w:pStyle w:val="903"/>
              <w:jc w:val="center"/>
              <w:widowControl/>
              <w:rPr>
                <w:color w:val="000000"/>
                <w:sz w:val="24"/>
                <w:szCs w:val="24"/>
              </w:rPr>
            </w:pPr>
            <w:r>
              <w:rPr>
                <w:color w:val="000000"/>
                <w:sz w:val="24"/>
                <w:szCs w:val="24"/>
              </w:rPr>
              <w:t xml:space="preserve">业绩和履约能力</w:t>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val="false"/>
          </w:tcPr>
          <w:p>
            <w:pPr>
              <w:pStyle w:val="903"/>
              <w:rPr>
                <w:color w:val="000000"/>
                <w:szCs w:val="24"/>
                <w:lang w:val="zh-CN"/>
              </w:rPr>
            </w:pPr>
            <w:r>
              <w:rPr>
                <w:color w:val="000000"/>
                <w:lang w:val="zh-CN"/>
              </w:rPr>
              <w:t xml:space="preserve">提供2023年1月1日以来（以合同签订时间为准）签署的</w:t>
            </w:r>
            <w:r>
              <w:rPr>
                <w:color w:val="000000"/>
              </w:rPr>
              <w:t xml:space="preserve">业务</w:t>
            </w:r>
            <w:r>
              <w:rPr>
                <w:color w:val="000000"/>
                <w:lang w:val="zh-CN"/>
              </w:rPr>
              <w:t xml:space="preserve">专网运营服务，每提供1个合同得2分，最高得</w:t>
            </w:r>
            <w:r>
              <w:rPr>
                <w:color w:val="000000"/>
              </w:rPr>
              <w:t xml:space="preserve">4</w:t>
            </w:r>
            <w:r>
              <w:rPr>
                <w:color w:val="000000"/>
                <w:lang w:val="zh-CN"/>
              </w:rPr>
              <w:t xml:space="preserve">分。（需提供可证明为</w:t>
            </w:r>
            <w:r>
              <w:rPr>
                <w:color w:val="000000"/>
              </w:rPr>
              <w:t xml:space="preserve">业务</w:t>
            </w:r>
            <w:r>
              <w:rPr>
                <w:color w:val="000000"/>
                <w:lang w:val="zh-CN"/>
              </w:rPr>
              <w:t xml:space="preserve">专网运营服务的相关内容及签署日期的关键页合同复印件，合同需为与最终用户签订的合同）</w:t>
            </w:r>
            <w:r>
              <w:rPr>
                <w:color w:val="000000"/>
                <w:szCs w:val="24"/>
                <w:lang w:val="zh-CN"/>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903"/>
              <w:jc w:val="center"/>
              <w:rPr>
                <w:color w:val="000000"/>
                <w:sz w:val="24"/>
                <w:szCs w:val="24"/>
              </w:rPr>
            </w:pPr>
            <w:r>
              <w:rPr>
                <w:color w:val="000000"/>
                <w:sz w:val="24"/>
                <w:szCs w:val="24"/>
              </w:rPr>
              <w:t xml:space="preserve">4</w:t>
            </w:r>
            <w:r/>
          </w:p>
        </w:tc>
      </w:tr>
    </w:tbl>
    <w:p>
      <w:pPr>
        <w:pStyle w:val="903"/>
        <w:rPr>
          <w:rFonts w:hint="eastAsia"/>
          <w:color w:val="000000"/>
        </w:rPr>
      </w:pPr>
      <w:r/>
      <w:bookmarkEnd w:id="243"/>
      <w:r/>
      <w:bookmarkEnd w:id="244"/>
      <w:r/>
      <w:bookmarkEnd w:id="245"/>
      <w:r>
        <w:rPr>
          <w:rFonts w:hint="eastAsia"/>
          <w:color w:val="000000"/>
        </w:rPr>
      </w:r>
      <w:r/>
    </w:p>
    <w:p>
      <w:pPr>
        <w:pStyle w:val="903"/>
        <w:ind w:firstLine="480"/>
        <w:spacing w:line="360" w:lineRule="auto"/>
        <w:rPr>
          <w:b/>
          <w:bCs/>
          <w:color w:val="000000"/>
          <w:sz w:val="28"/>
          <w:szCs w:val="28"/>
        </w:rPr>
      </w:pPr>
      <w:r>
        <w:rPr>
          <w:b/>
          <w:bCs/>
          <w:color w:val="000000"/>
          <w:sz w:val="28"/>
          <w:szCs w:val="28"/>
        </w:rPr>
        <w:t xml:space="preserve">采购包2：</w:t>
      </w:r>
      <w:r/>
    </w:p>
    <w:tbl>
      <w:tblPr>
        <w:tblW w:w="492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2"/>
        <w:gridCol w:w="5420"/>
        <w:gridCol w:w="1775"/>
      </w:tblGrid>
      <w:tr>
        <w:trPr>
          <w:trHeight w:val="270"/>
        </w:trPr>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3"/>
              <w:jc w:val="center"/>
              <w:widowControl/>
              <w:rPr>
                <w:b/>
                <w:color w:val="000000"/>
                <w:sz w:val="24"/>
                <w:szCs w:val="24"/>
              </w:rPr>
            </w:pPr>
            <w:r>
              <w:rPr>
                <w:b/>
                <w:color w:val="000000"/>
                <w:sz w:val="24"/>
                <w:szCs w:val="24"/>
              </w:rPr>
              <w:t xml:space="preserve">评标内容</w:t>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jc w:val="center"/>
              <w:widowControl/>
              <w:rPr>
                <w:b/>
                <w:color w:val="000000"/>
                <w:sz w:val="24"/>
                <w:szCs w:val="24"/>
              </w:rPr>
            </w:pPr>
            <w:r>
              <w:rPr>
                <w:b/>
                <w:color w:val="000000"/>
                <w:sz w:val="24"/>
                <w:szCs w:val="24"/>
              </w:rPr>
              <w:t xml:space="preserve">评标标准</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pStyle w:val="903"/>
              <w:jc w:val="center"/>
              <w:widowControl/>
              <w:rPr>
                <w:b/>
                <w:color w:val="000000"/>
                <w:sz w:val="24"/>
                <w:szCs w:val="24"/>
              </w:rPr>
            </w:pPr>
            <w:r>
              <w:rPr>
                <w:b/>
                <w:color w:val="000000"/>
                <w:sz w:val="24"/>
                <w:szCs w:val="24"/>
              </w:rPr>
              <w:t xml:space="preserve">分值</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9037" w:type="dxa"/>
            <w:vAlign w:val="center"/>
            <w:textDirection w:val="lrTb"/>
            <w:noWrap w:val="false"/>
          </w:tcPr>
          <w:p>
            <w:pPr>
              <w:pStyle w:val="903"/>
              <w:jc w:val="center"/>
              <w:widowControl/>
              <w:rPr>
                <w:b/>
                <w:color w:val="000000"/>
                <w:sz w:val="24"/>
                <w:szCs w:val="24"/>
              </w:rPr>
            </w:pPr>
            <w:r>
              <w:rPr>
                <w:b/>
                <w:bCs/>
                <w:color w:val="000000"/>
                <w:sz w:val="24"/>
                <w:szCs w:val="24"/>
                <w:lang w:bidi="ar"/>
              </w:rPr>
              <w:t xml:space="preserve">一、报价部分（10分）</w:t>
            </w:r>
            <w:r>
              <w:rPr>
                <w:b/>
                <w:color w:val="000000"/>
                <w:sz w:val="24"/>
                <w:szCs w:val="24"/>
              </w:rPr>
            </w:r>
            <w:r/>
          </w:p>
        </w:tc>
      </w:tr>
      <w:tr>
        <w:trPr>
          <w:trHeight w:val="90"/>
        </w:trPr>
        <w:tc>
          <w:tcPr>
            <w:tcBorders>
              <w:top w:val="single" w:color="000000" w:sz="4" w:space="0"/>
              <w:left w:val="single" w:color="000000" w:sz="4" w:space="0"/>
              <w:bottom w:val="none" w:color="000000" w:sz="4" w:space="0"/>
              <w:right w:val="single" w:color="000000" w:sz="4" w:space="0"/>
            </w:tcBorders>
            <w:tcW w:w="1842" w:type="dxa"/>
            <w:vAlign w:val="center"/>
            <w:textDirection w:val="lrTb"/>
            <w:noWrap w:val="false"/>
          </w:tcPr>
          <w:p>
            <w:pPr>
              <w:pStyle w:val="903"/>
              <w:jc w:val="center"/>
              <w:widowControl/>
              <w:rPr>
                <w:color w:val="000000"/>
                <w:sz w:val="24"/>
                <w:szCs w:val="24"/>
              </w:rPr>
            </w:pPr>
            <w:r>
              <w:rPr>
                <w:color w:val="000000"/>
                <w:sz w:val="24"/>
                <w:szCs w:val="24"/>
              </w:rPr>
              <w:t xml:space="preserve">1 </w:t>
            </w:r>
            <w:r/>
          </w:p>
          <w:p>
            <w:pPr>
              <w:pStyle w:val="903"/>
              <w:jc w:val="center"/>
              <w:widowControl/>
              <w:rPr>
                <w:color w:val="000000"/>
                <w:sz w:val="24"/>
                <w:szCs w:val="24"/>
              </w:rPr>
            </w:pPr>
            <w:r>
              <w:rPr>
                <w:color w:val="000000"/>
                <w:sz w:val="24"/>
                <w:szCs w:val="24"/>
              </w:rPr>
              <w:t xml:space="preserve">报价部分</w:t>
            </w:r>
            <w:r/>
          </w:p>
        </w:tc>
        <w:tc>
          <w:tcPr>
            <w:tcBorders>
              <w:top w:val="single" w:color="000000" w:sz="4" w:space="0"/>
              <w:left w:val="single" w:color="000000" w:sz="4" w:space="0"/>
              <w:bottom w:val="none" w:color="000000" w:sz="4" w:space="0"/>
              <w:right w:val="single" w:color="000000" w:sz="4" w:space="0"/>
            </w:tcBorders>
            <w:tcW w:w="5420" w:type="dxa"/>
            <w:vAlign w:val="center"/>
            <w:textDirection w:val="lrTb"/>
            <w:noWrap w:val="false"/>
          </w:tcPr>
          <w:p>
            <w:pPr>
              <w:pStyle w:val="903"/>
              <w:rPr>
                <w:color w:val="000000"/>
              </w:rPr>
            </w:pPr>
            <w:r>
              <w:rPr>
                <w:color w:val="000000"/>
              </w:rPr>
              <w:t xml:space="preserve">采用低价优先法，满足采购文件要求且投标价格最低的投标报价为评标基准价，其价格分为满分。其他投标人的价格分统一按照下列公式计算：投标报价得分=(评标基准价／投标报价)×10。</w:t>
            </w:r>
            <w:r/>
          </w:p>
        </w:tc>
        <w:tc>
          <w:tcPr>
            <w:tcBorders>
              <w:top w:val="single" w:color="000000" w:sz="4" w:space="0"/>
              <w:left w:val="single" w:color="000000" w:sz="4" w:space="0"/>
              <w:bottom w:val="none" w:color="000000" w:sz="4" w:space="0"/>
              <w:right w:val="single" w:color="000000" w:sz="4" w:space="0"/>
            </w:tcBorders>
            <w:tcW w:w="1775" w:type="dxa"/>
            <w:vAlign w:val="center"/>
            <w:textDirection w:val="lrTb"/>
            <w:noWrap w:val="false"/>
          </w:tcPr>
          <w:p>
            <w:pPr>
              <w:pStyle w:val="903"/>
              <w:jc w:val="center"/>
              <w:widowControl/>
              <w:rPr>
                <w:color w:val="000000"/>
                <w:sz w:val="24"/>
                <w:szCs w:val="24"/>
              </w:rPr>
            </w:pPr>
            <w:r/>
            <w:bookmarkStart w:id="247" w:name="OLE_LINK15"/>
            <w:r>
              <w:rPr>
                <w:color w:val="000000"/>
                <w:sz w:val="24"/>
                <w:szCs w:val="24"/>
              </w:rPr>
              <w:t xml:space="preserve">10</w:t>
            </w:r>
            <w:bookmarkEnd w:id="247"/>
            <w:r>
              <w:rPr>
                <w:color w:val="000000"/>
                <w:sz w:val="24"/>
                <w:szCs w:val="24"/>
              </w:rPr>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9037" w:type="dxa"/>
            <w:vAlign w:val="center"/>
            <w:textDirection w:val="lrTb"/>
            <w:noWrap w:val="false"/>
          </w:tcPr>
          <w:p>
            <w:pPr>
              <w:pStyle w:val="903"/>
              <w:rPr>
                <w:color w:val="000000"/>
              </w:rPr>
            </w:pPr>
            <w:r>
              <w:rPr>
                <w:color w:val="000000"/>
              </w:rPr>
              <w:t xml:space="preserve">二、技术部分（54分）</w:t>
            </w:r>
            <w:r/>
          </w:p>
        </w:tc>
      </w:tr>
      <w:tr>
        <w:trPr>
          <w:trHeight w:val="90"/>
        </w:trPr>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3"/>
              <w:jc w:val="center"/>
              <w:widowControl/>
              <w:rPr>
                <w:color w:val="000000"/>
                <w:sz w:val="24"/>
                <w:szCs w:val="24"/>
              </w:rPr>
            </w:pPr>
            <w:r>
              <w:rPr>
                <w:color w:val="000000"/>
                <w:sz w:val="24"/>
                <w:szCs w:val="24"/>
              </w:rPr>
              <w:t xml:space="preserve">2.1</w:t>
            </w:r>
            <w:r/>
          </w:p>
          <w:p>
            <w:pPr>
              <w:pStyle w:val="903"/>
              <w:jc w:val="center"/>
              <w:widowControl/>
              <w:rPr>
                <w:color w:val="000000"/>
                <w:sz w:val="24"/>
                <w:szCs w:val="24"/>
              </w:rPr>
            </w:pPr>
            <w:r>
              <w:rPr>
                <w:color w:val="000000"/>
                <w:sz w:val="24"/>
                <w:szCs w:val="24"/>
              </w:rPr>
              <w:t xml:space="preserve">技术要求响应</w:t>
            </w:r>
            <w:r/>
          </w:p>
        </w:tc>
        <w:tc>
          <w:tcPr>
            <w:tcBorders>
              <w:top w:val="single" w:color="000000" w:sz="4" w:space="0"/>
              <w:left w:val="single" w:color="000000" w:sz="4" w:space="0"/>
              <w:right w:val="single" w:color="000000" w:sz="4" w:space="0"/>
            </w:tcBorders>
            <w:tcW w:w="5420" w:type="dxa"/>
            <w:vAlign w:val="center"/>
            <w:textDirection w:val="lrTb"/>
            <w:noWrap w:val="false"/>
          </w:tcPr>
          <w:p>
            <w:pPr>
              <w:pStyle w:val="903"/>
              <w:rPr>
                <w:color w:val="000000"/>
                <w:lang w:val="zh-CN"/>
              </w:rPr>
            </w:pPr>
            <w:r>
              <w:rPr>
                <w:color w:val="000000"/>
                <w:lang w:val="zh-CN"/>
              </w:rPr>
              <w:t xml:space="preserve">根据</w:t>
            </w:r>
            <w:r>
              <w:rPr>
                <w:color w:val="000000"/>
              </w:rPr>
              <w:t xml:space="preserve">投标人</w:t>
            </w:r>
            <w:r>
              <w:rPr>
                <w:color w:val="000000"/>
                <w:lang w:val="zh-CN"/>
              </w:rPr>
              <w:t xml:space="preserve">的</w:t>
            </w:r>
            <w:r>
              <w:rPr>
                <w:color w:val="000000"/>
              </w:rPr>
              <w:t xml:space="preserve">技术</w:t>
            </w:r>
            <w:r>
              <w:rPr>
                <w:color w:val="000000"/>
                <w:lang w:val="zh-CN"/>
              </w:rPr>
              <w:t xml:space="preserve">响应情况评分。所投产品及服务全部符合采购文件第四章：</w:t>
            </w:r>
            <w:r>
              <w:rPr>
                <w:color w:val="000000"/>
              </w:rPr>
              <w:t xml:space="preserve">四、技术要求 采购包1 </w:t>
            </w:r>
            <w:r>
              <w:rPr>
                <w:color w:val="000000"/>
                <w:lang w:val="zh-CN"/>
              </w:rPr>
              <w:t xml:space="preserve">技术指标中要求的得</w:t>
            </w:r>
            <w:r>
              <w:rPr>
                <w:color w:val="000000"/>
              </w:rPr>
              <w:t xml:space="preserve">28</w:t>
            </w:r>
            <w:r>
              <w:rPr>
                <w:color w:val="000000"/>
                <w:lang w:val="zh-CN"/>
              </w:rPr>
              <w:t xml:space="preserve">分；其中带</w:t>
            </w:r>
            <w:r>
              <w:rPr>
                <w:rFonts w:hint="eastAsia" w:ascii="宋体" w:hAnsi="宋体" w:cs="宋体"/>
                <w:color w:val="000000"/>
                <w:lang w:val="zh-CN"/>
              </w:rPr>
              <w:t xml:space="preserve">★</w:t>
            </w:r>
            <w:r>
              <w:rPr>
                <w:color w:val="000000"/>
                <w:lang w:val="zh-CN"/>
              </w:rPr>
              <w:t xml:space="preserve">内容有负偏离的每项扣</w:t>
            </w:r>
            <w:r>
              <w:rPr>
                <w:color w:val="000000"/>
              </w:rPr>
              <w:t xml:space="preserve">2</w:t>
            </w:r>
            <w:r>
              <w:rPr>
                <w:color w:val="000000"/>
                <w:lang w:val="zh-CN"/>
              </w:rPr>
              <w:t xml:space="preserve">分（</w:t>
            </w:r>
            <w:r>
              <w:rPr>
                <w:color w:val="000000"/>
              </w:rPr>
              <w:t xml:space="preserve">共14项</w:t>
            </w:r>
            <w:r>
              <w:rPr>
                <w:color w:val="000000"/>
                <w:lang w:val="zh-CN"/>
              </w:rPr>
              <w:t xml:space="preserve">），扣完为止。</w:t>
            </w:r>
            <w:r/>
          </w:p>
          <w:p>
            <w:pPr>
              <w:pStyle w:val="903"/>
              <w:rPr>
                <w:color w:val="000000"/>
                <w:lang w:val="zh-CN"/>
              </w:rPr>
            </w:pPr>
            <w:r>
              <w:rPr>
                <w:color w:val="000000"/>
              </w:rPr>
              <w:t xml:space="preserve">（投标人需按照本采购文件的技术指标要求和其他要求等，在“技术参数响应偏离表”以及“商务条款响应偏离表”中如实详细填列所投产品的参数及服务承诺，并按照采购要求提供产品的技术参数的证明材料，未提供有效证明材料的不得分。）</w:t>
            </w:r>
            <w:r>
              <w:rPr>
                <w:color w:val="000000"/>
                <w:lang w:val="zh-CN"/>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widowControl/>
              <w:rPr>
                <w:color w:val="000000"/>
                <w:sz w:val="24"/>
                <w:szCs w:val="24"/>
              </w:rPr>
            </w:pPr>
            <w:r>
              <w:rPr>
                <w:color w:val="000000"/>
                <w:sz w:val="24"/>
                <w:szCs w:val="24"/>
              </w:rPr>
              <w:t xml:space="preserve">28</w:t>
            </w:r>
            <w:r/>
          </w:p>
        </w:tc>
      </w:tr>
      <w:tr>
        <w:trPr>
          <w:trHeight w:val="55"/>
        </w:trPr>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3"/>
              <w:jc w:val="center"/>
              <w:widowControl/>
              <w:rPr>
                <w:color w:val="000000"/>
                <w:sz w:val="24"/>
                <w:szCs w:val="24"/>
              </w:rPr>
            </w:pPr>
            <w:r>
              <w:rPr>
                <w:color w:val="000000"/>
                <w:sz w:val="24"/>
                <w:szCs w:val="24"/>
              </w:rPr>
              <w:t xml:space="preserve">2.2</w:t>
            </w:r>
            <w:r/>
          </w:p>
          <w:p>
            <w:pPr>
              <w:pStyle w:val="903"/>
              <w:jc w:val="center"/>
              <w:widowControl/>
              <w:rPr>
                <w:color w:val="000000"/>
                <w:sz w:val="24"/>
                <w:szCs w:val="24"/>
              </w:rPr>
            </w:pPr>
            <w:r>
              <w:rPr>
                <w:color w:val="000000"/>
                <w:sz w:val="24"/>
                <w:szCs w:val="24"/>
              </w:rPr>
              <w:t xml:space="preserve">总体技术方案</w:t>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lang w:val="zh-CN"/>
              </w:rPr>
            </w:pPr>
            <w:r>
              <w:rPr>
                <w:color w:val="000000"/>
                <w:lang w:val="zh-CN"/>
              </w:rPr>
              <w:t xml:space="preserve">根据投标单位的投标文件响应情况，以及总体技术方案的技术完整性、可行性、科学性进行综合评分。方案科学完整、详细、切实可行，优于招标文件需求得4分，方案符合招标文件需求得2分，不满足或未提供的不得分。</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4</w:t>
            </w:r>
            <w:r/>
          </w:p>
        </w:tc>
      </w:tr>
      <w:tr>
        <w:trPr>
          <w:trHeight w:val="826"/>
        </w:trPr>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3"/>
              <w:jc w:val="center"/>
              <w:widowControl/>
              <w:rPr>
                <w:color w:val="000000"/>
                <w:sz w:val="24"/>
                <w:szCs w:val="24"/>
              </w:rPr>
            </w:pPr>
            <w:r>
              <w:rPr>
                <w:color w:val="000000"/>
                <w:sz w:val="24"/>
                <w:szCs w:val="24"/>
              </w:rPr>
              <w:t xml:space="preserve">2.3</w:t>
            </w:r>
            <w:r/>
          </w:p>
          <w:p>
            <w:pPr>
              <w:pStyle w:val="903"/>
              <w:jc w:val="center"/>
              <w:widowControl/>
              <w:rPr>
                <w:color w:val="000000"/>
                <w:sz w:val="24"/>
                <w:szCs w:val="24"/>
              </w:rPr>
            </w:pPr>
            <w:r>
              <w:rPr>
                <w:color w:val="000000"/>
                <w:sz w:val="24"/>
                <w:szCs w:val="24"/>
              </w:rPr>
              <w:t xml:space="preserve">网络安全设计方案</w:t>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lang w:val="zh-CN"/>
              </w:rPr>
            </w:pPr>
            <w:r>
              <w:rPr>
                <w:color w:val="000000"/>
                <w:lang w:val="zh-CN"/>
              </w:rPr>
              <w:t xml:space="preserve">投标人应根据项目需求提供具体详实的网络安全服务方案，方案需科学有效且具有可操作性。方案优于项目需求的得3分，符合项目需求的得2分，不符合或未提供的得0分。</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3</w:t>
            </w:r>
            <w:r/>
          </w:p>
        </w:tc>
      </w:tr>
      <w:tr>
        <w:trPr>
          <w:trHeight w:val="55"/>
        </w:trPr>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3"/>
              <w:jc w:val="center"/>
              <w:widowControl/>
              <w:rPr>
                <w:color w:val="000000"/>
                <w:sz w:val="24"/>
                <w:szCs w:val="24"/>
              </w:rPr>
            </w:pPr>
            <w:r>
              <w:rPr>
                <w:color w:val="000000"/>
                <w:sz w:val="24"/>
                <w:szCs w:val="24"/>
              </w:rPr>
              <w:t xml:space="preserve">2.4</w:t>
            </w:r>
            <w:r/>
          </w:p>
          <w:p>
            <w:pPr>
              <w:pStyle w:val="903"/>
              <w:jc w:val="center"/>
              <w:widowControl/>
              <w:rPr>
                <w:color w:val="000000"/>
                <w:sz w:val="24"/>
                <w:szCs w:val="24"/>
              </w:rPr>
            </w:pPr>
            <w:r>
              <w:rPr>
                <w:color w:val="000000"/>
                <w:sz w:val="24"/>
                <w:szCs w:val="24"/>
              </w:rPr>
              <w:t xml:space="preserve">项目实施方案</w:t>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lang w:val="zh-CN"/>
              </w:rPr>
            </w:pPr>
            <w:r>
              <w:rPr>
                <w:color w:val="000000"/>
              </w:rPr>
              <w:t xml:space="preserve">2.4.1</w:t>
            </w:r>
            <w:r>
              <w:rPr>
                <w:color w:val="000000"/>
                <w:lang w:val="zh-CN"/>
              </w:rPr>
              <w:t xml:space="preserve">试点实施承诺：投标人需承诺在中标后配合采购人进行项目试点实施，中标后10天内完成不少于两个地市与省厅的通信线路和网络运营试点工作，期间所需软硬件设备及辅材全部由投标人提供，如测试结果与投标文件响应内容不符，投标人将按照政府采购有关规定承担法律责任。提供项目试点承诺函得1分，每多承诺完成一个地市试点加0.5分。本项满分2分。未提供承诺函或不满足不得分。</w:t>
            </w:r>
            <w:r/>
          </w:p>
          <w:p>
            <w:pPr>
              <w:pStyle w:val="903"/>
              <w:rPr>
                <w:color w:val="000000"/>
                <w:lang w:val="zh-CN"/>
              </w:rPr>
            </w:pPr>
            <w:r>
              <w:rPr>
                <w:color w:val="000000"/>
              </w:rPr>
              <w:t xml:space="preserve">2.4.2</w:t>
            </w:r>
            <w:r>
              <w:rPr>
                <w:color w:val="000000"/>
                <w:lang w:val="zh-CN"/>
              </w:rPr>
              <w:t xml:space="preserve">投标人应提供项目实施方案，方案须包含项目工期计划、实施团队架构、实施内容、质量保障方案、风险控制措施等。优于采购需求的得</w:t>
            </w:r>
            <w:r>
              <w:rPr>
                <w:color w:val="000000"/>
              </w:rPr>
              <w:t xml:space="preserve">2</w:t>
            </w:r>
            <w:r>
              <w:rPr>
                <w:color w:val="000000"/>
                <w:lang w:val="zh-CN"/>
              </w:rPr>
              <w:t xml:space="preserve">分，满足采购需求的得</w:t>
            </w:r>
            <w:r>
              <w:rPr>
                <w:color w:val="000000"/>
              </w:rPr>
              <w:t xml:space="preserve">1</w:t>
            </w:r>
            <w:r>
              <w:rPr>
                <w:color w:val="000000"/>
                <w:lang w:val="zh-CN"/>
              </w:rPr>
              <w:t xml:space="preserve">分，未提供或不满足不得分。</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3"/>
              <w:jc w:val="center"/>
              <w:widowControl/>
              <w:rPr>
                <w:color w:val="000000"/>
                <w:sz w:val="24"/>
                <w:szCs w:val="24"/>
              </w:rPr>
            </w:pPr>
            <w:r>
              <w:rPr>
                <w:color w:val="000000"/>
                <w:sz w:val="24"/>
                <w:szCs w:val="24"/>
              </w:rPr>
              <w:t xml:space="preserve">2.5</w:t>
            </w:r>
            <w:r/>
          </w:p>
          <w:p>
            <w:pPr>
              <w:pStyle w:val="903"/>
              <w:jc w:val="center"/>
              <w:widowControl/>
              <w:rPr>
                <w:color w:val="000000"/>
                <w:sz w:val="24"/>
                <w:szCs w:val="24"/>
              </w:rPr>
            </w:pPr>
            <w:r>
              <w:rPr>
                <w:color w:val="000000"/>
                <w:sz w:val="24"/>
                <w:szCs w:val="24"/>
              </w:rPr>
              <w:t xml:space="preserve">线路割接方案</w:t>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lang w:val="zh-CN"/>
              </w:rPr>
            </w:pPr>
            <w:r>
              <w:rPr>
                <w:color w:val="000000"/>
                <w:lang w:val="zh-CN"/>
              </w:rPr>
              <w:t xml:space="preserve">为保障业务和线路的平稳过渡，投标人应针对互联网专线宽带、互联网区运维应急通道、裸光纤接入制定符合项目需求的线路割接方案。</w:t>
            </w:r>
            <w:r/>
          </w:p>
          <w:p>
            <w:pPr>
              <w:pStyle w:val="903"/>
              <w:rPr>
                <w:color w:val="000000"/>
                <w:lang w:val="zh-CN"/>
              </w:rPr>
            </w:pPr>
            <w:r>
              <w:rPr>
                <w:color w:val="000000"/>
                <w:lang w:val="zh-CN"/>
              </w:rPr>
              <w:t xml:space="preserve">2.</w:t>
            </w:r>
            <w:r>
              <w:rPr>
                <w:color w:val="000000"/>
              </w:rPr>
              <w:t xml:space="preserve">5</w:t>
            </w:r>
            <w:r>
              <w:rPr>
                <w:color w:val="000000"/>
                <w:lang w:val="zh-CN"/>
              </w:rPr>
              <w:t xml:space="preserve">.1</w:t>
            </w:r>
            <w:r>
              <w:rPr>
                <w:color w:val="000000"/>
              </w:rPr>
              <w:t xml:space="preserve"> </w:t>
            </w:r>
            <w:r>
              <w:rPr>
                <w:color w:val="000000"/>
                <w:lang w:val="zh-CN"/>
              </w:rPr>
              <w:t xml:space="preserve">通过技术手段保障，承诺完全不影响系统运行和用户使用的，得2分；承诺影响时间在1小时（含）以内的，得1分；承诺影响时间超过1小时、或未提供承诺的，不得分。（割接安排及影响时间估算需真实、可行）</w:t>
            </w:r>
            <w:r/>
          </w:p>
          <w:p>
            <w:pPr>
              <w:pStyle w:val="903"/>
              <w:rPr>
                <w:color w:val="000000"/>
                <w:lang w:val="zh-CN"/>
              </w:rPr>
            </w:pPr>
            <w:r>
              <w:rPr>
                <w:color w:val="000000"/>
                <w:lang w:val="zh-CN"/>
              </w:rPr>
              <w:t xml:space="preserve">2.</w:t>
            </w:r>
            <w:r>
              <w:rPr>
                <w:color w:val="000000"/>
              </w:rPr>
              <w:t xml:space="preserve">5.2 </w:t>
            </w:r>
            <w:r>
              <w:rPr>
                <w:color w:val="000000"/>
                <w:lang w:val="zh-CN"/>
              </w:rPr>
              <w:t xml:space="preserve">线路割接方案优于项目需求的得3分，符合项目需求的得2分，不符合或未提供的得0分。</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5</w:t>
            </w:r>
            <w:r/>
          </w:p>
        </w:tc>
      </w:tr>
      <w:tr>
        <w:trPr>
          <w:trHeight w:val="593"/>
        </w:trPr>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3"/>
              <w:jc w:val="center"/>
              <w:widowControl/>
              <w:rPr>
                <w:color w:val="000000"/>
                <w:sz w:val="24"/>
                <w:szCs w:val="24"/>
              </w:rPr>
            </w:pPr>
            <w:r>
              <w:rPr>
                <w:color w:val="000000"/>
                <w:sz w:val="24"/>
                <w:szCs w:val="24"/>
              </w:rPr>
              <w:t xml:space="preserve">2.6</w:t>
            </w:r>
            <w:r/>
          </w:p>
          <w:p>
            <w:pPr>
              <w:pStyle w:val="903"/>
              <w:jc w:val="center"/>
              <w:widowControl/>
              <w:rPr>
                <w:color w:val="000000"/>
                <w:sz w:val="24"/>
                <w:szCs w:val="24"/>
              </w:rPr>
            </w:pPr>
            <w:r>
              <w:rPr>
                <w:color w:val="000000"/>
                <w:sz w:val="24"/>
                <w:szCs w:val="24"/>
              </w:rPr>
              <w:t xml:space="preserve">售后服务及培训方案</w:t>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lang w:val="zh-CN"/>
              </w:rPr>
            </w:pPr>
            <w:r>
              <w:rPr>
                <w:color w:val="000000"/>
              </w:rPr>
              <w:t xml:space="preserve">2.6.1</w:t>
            </w:r>
            <w:r>
              <w:rPr>
                <w:color w:val="000000"/>
                <w:lang w:val="zh-CN"/>
              </w:rPr>
              <w:t xml:space="preserve">投标人提供维护服务保障体系和完整合理的服务方案，内容包含；服务机构、服务内容、响应时间、故障处理、恢复时效、人员力量、支撑保障等内容。</w:t>
            </w:r>
            <w:r>
              <w:rPr>
                <w:color w:val="000000"/>
              </w:rPr>
              <w:t xml:space="preserve">优于项目需求的得2分，符合项目需求的得1分，不符合项目需求或未提供的不得分。</w:t>
            </w:r>
            <w:r>
              <w:rPr>
                <w:color w:val="000000"/>
                <w:lang w:val="zh-CN"/>
              </w:rPr>
            </w:r>
            <w:r/>
          </w:p>
          <w:p>
            <w:pPr>
              <w:pStyle w:val="903"/>
              <w:rPr>
                <w:color w:val="000000"/>
                <w:lang w:val="zh-CN"/>
              </w:rPr>
            </w:pPr>
            <w:r>
              <w:rPr>
                <w:color w:val="000000"/>
              </w:rPr>
              <w:t xml:space="preserve">2.6.2</w:t>
            </w:r>
            <w:r>
              <w:rPr>
                <w:color w:val="000000"/>
                <w:lang w:val="zh-CN"/>
              </w:rPr>
              <w:t xml:space="preserve">投标人提供</w:t>
            </w:r>
            <w:r>
              <w:rPr>
                <w:color w:val="000000"/>
              </w:rPr>
              <w:t xml:space="preserve">培训内容、培训形式、培训频次、培训人数、培训地点等内容。优于项目需求的得2分，符合项目需求的得1分，不符合项目需求或未提供的不得分。</w:t>
            </w:r>
            <w:r>
              <w:rPr>
                <w:color w:val="000000"/>
                <w:lang w:val="zh-CN"/>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4</w:t>
            </w:r>
            <w:r/>
          </w:p>
        </w:tc>
      </w:tr>
      <w:tr>
        <w:trPr>
          <w:trHeight w:val="1020"/>
        </w:trPr>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3"/>
              <w:jc w:val="center"/>
              <w:widowControl/>
              <w:rPr>
                <w:color w:val="000000"/>
                <w:sz w:val="24"/>
                <w:szCs w:val="24"/>
              </w:rPr>
            </w:pPr>
            <w:r>
              <w:rPr>
                <w:color w:val="000000"/>
                <w:sz w:val="24"/>
                <w:szCs w:val="24"/>
              </w:rPr>
              <w:t xml:space="preserve">2.7</w:t>
            </w:r>
            <w:r/>
          </w:p>
          <w:p>
            <w:pPr>
              <w:pStyle w:val="903"/>
              <w:jc w:val="center"/>
              <w:widowControl/>
              <w:rPr>
                <w:color w:val="000000"/>
                <w:sz w:val="24"/>
                <w:szCs w:val="24"/>
              </w:rPr>
            </w:pPr>
            <w:r>
              <w:rPr>
                <w:color w:val="000000"/>
                <w:sz w:val="24"/>
                <w:szCs w:val="24"/>
              </w:rPr>
              <w:t xml:space="preserve">应急保障方案</w:t>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lang w:val="zh-CN"/>
              </w:rPr>
            </w:pPr>
            <w:r>
              <w:rPr>
                <w:color w:val="000000"/>
                <w:lang w:val="zh-CN"/>
              </w:rPr>
              <w:t xml:space="preserve">投标人应提供科学、合理、详细的应急保障方案，且有可供应急使用的备品备件库。方案优于项目需求的得3分，符合项目需求的得2分，不符合或未提供的得0分。</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3</w:t>
            </w:r>
            <w:r/>
          </w:p>
        </w:tc>
      </w:tr>
      <w:tr>
        <w:trPr>
          <w:trHeight w:val="1020"/>
        </w:trPr>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3"/>
              <w:jc w:val="center"/>
              <w:widowControl/>
              <w:rPr>
                <w:color w:val="000000"/>
                <w:sz w:val="24"/>
                <w:szCs w:val="24"/>
              </w:rPr>
            </w:pPr>
            <w:r>
              <w:rPr>
                <w:color w:val="000000"/>
                <w:sz w:val="24"/>
                <w:szCs w:val="24"/>
              </w:rPr>
              <w:t xml:space="preserve">2.8</w:t>
            </w:r>
            <w:r/>
          </w:p>
          <w:p>
            <w:pPr>
              <w:pStyle w:val="903"/>
              <w:jc w:val="center"/>
              <w:widowControl/>
              <w:rPr>
                <w:color w:val="000000"/>
                <w:sz w:val="24"/>
                <w:szCs w:val="24"/>
              </w:rPr>
            </w:pPr>
            <w:r>
              <w:rPr>
                <w:color w:val="000000"/>
                <w:sz w:val="24"/>
                <w:szCs w:val="24"/>
              </w:rPr>
              <w:t xml:space="preserve">本地化服务能力</w:t>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lang w:val="zh-CN"/>
              </w:rPr>
            </w:pPr>
            <w:r>
              <w:rPr>
                <w:color w:val="000000"/>
                <w:lang w:val="zh-CN"/>
              </w:rPr>
              <w:t xml:space="preserve">投标人提供</w:t>
            </w:r>
            <w:r>
              <w:rPr>
                <w:color w:val="000000"/>
              </w:rPr>
              <w:t xml:space="preserve">江苏全省</w:t>
            </w:r>
            <w:r>
              <w:rPr>
                <w:color w:val="000000"/>
                <w:lang w:val="zh-CN"/>
              </w:rPr>
              <w:t xml:space="preserve">省、市、县三级本地化服务能力</w:t>
            </w:r>
            <w:r>
              <w:rPr>
                <w:color w:val="000000"/>
              </w:rPr>
              <w:t xml:space="preserve">方案</w:t>
            </w:r>
            <w:r>
              <w:rPr>
                <w:color w:val="000000"/>
                <w:lang w:val="zh-CN"/>
              </w:rPr>
              <w:t xml:space="preserve">。方案优于项目需求的得</w:t>
            </w:r>
            <w:r>
              <w:rPr>
                <w:color w:val="000000"/>
              </w:rPr>
              <w:t xml:space="preserve">3</w:t>
            </w:r>
            <w:r>
              <w:rPr>
                <w:color w:val="000000"/>
                <w:lang w:val="zh-CN"/>
              </w:rPr>
              <w:t xml:space="preserve">分，符合项目需求的得</w:t>
            </w:r>
            <w:r>
              <w:rPr>
                <w:color w:val="000000"/>
              </w:rPr>
              <w:t xml:space="preserve">2</w:t>
            </w:r>
            <w:r>
              <w:rPr>
                <w:color w:val="000000"/>
                <w:lang w:val="zh-CN"/>
              </w:rPr>
              <w:t xml:space="preserve">分，不符合或未提供的得0分。</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3</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9037" w:type="dxa"/>
            <w:vAlign w:val="center"/>
            <w:textDirection w:val="lrTb"/>
            <w:noWrap w:val="false"/>
          </w:tcPr>
          <w:p>
            <w:pPr>
              <w:pStyle w:val="903"/>
              <w:ind w:firstLine="480"/>
              <w:rPr>
                <w:color w:val="000000"/>
                <w:sz w:val="24"/>
                <w:szCs w:val="24"/>
                <w:lang w:val="zh-CN"/>
              </w:rPr>
            </w:pPr>
            <w:r>
              <w:rPr>
                <w:color w:val="000000"/>
                <w:sz w:val="24"/>
                <w:szCs w:val="24"/>
                <w:lang w:val="zh-CN"/>
              </w:rPr>
              <w:t xml:space="preserve">三、商务部分</w:t>
            </w:r>
            <w:r>
              <w:rPr>
                <w:color w:val="000000"/>
                <w:sz w:val="22"/>
                <w:szCs w:val="22"/>
                <w:lang w:val="zh-CN" w:bidi="ar"/>
              </w:rPr>
              <w:t xml:space="preserve">（</w:t>
            </w:r>
            <w:r>
              <w:rPr>
                <w:color w:val="000000"/>
                <w:sz w:val="22"/>
                <w:szCs w:val="22"/>
                <w:lang w:bidi="ar"/>
              </w:rPr>
              <w:t xml:space="preserve">36</w:t>
            </w:r>
            <w:r>
              <w:rPr>
                <w:color w:val="000000"/>
                <w:sz w:val="22"/>
                <w:szCs w:val="22"/>
                <w:lang w:val="zh-CN" w:bidi="ar"/>
              </w:rPr>
              <w:t xml:space="preserve">分）</w:t>
            </w:r>
            <w:r>
              <w:rPr>
                <w:color w:val="000000"/>
                <w:sz w:val="24"/>
                <w:szCs w:val="24"/>
                <w:lang w:val="zh-CN"/>
              </w:rPr>
            </w:r>
            <w:r/>
          </w:p>
        </w:tc>
      </w:tr>
      <w:tr>
        <w:trPr>
          <w:cantSplit/>
          <w:trHeight w:val="230"/>
        </w:trPr>
        <w:tc>
          <w:tcPr>
            <w:tcBorders>
              <w:top w:val="single" w:color="000000" w:sz="4" w:space="0"/>
              <w:left w:val="single" w:color="000000" w:sz="4" w:space="0"/>
              <w:right w:val="single" w:color="000000" w:sz="4" w:space="0"/>
            </w:tcBorders>
            <w:tcW w:w="1842" w:type="dxa"/>
            <w:vAlign w:val="center"/>
            <w:vMerge w:val="restart"/>
            <w:textDirection w:val="lrTb"/>
            <w:noWrap w:val="false"/>
          </w:tcPr>
          <w:p>
            <w:pPr>
              <w:pStyle w:val="903"/>
              <w:jc w:val="center"/>
              <w:widowControl/>
              <w:rPr>
                <w:color w:val="000000"/>
                <w:sz w:val="24"/>
                <w:szCs w:val="24"/>
              </w:rPr>
            </w:pPr>
            <w:r>
              <w:rPr>
                <w:color w:val="000000"/>
                <w:sz w:val="24"/>
                <w:szCs w:val="24"/>
              </w:rPr>
              <w:t xml:space="preserve">3.1</w:t>
            </w:r>
            <w:r/>
          </w:p>
          <w:p>
            <w:pPr>
              <w:pStyle w:val="903"/>
              <w:jc w:val="center"/>
              <w:widowControl/>
              <w:rPr>
                <w:color w:val="000000"/>
                <w:sz w:val="24"/>
                <w:szCs w:val="24"/>
              </w:rPr>
            </w:pPr>
            <w:r>
              <w:rPr>
                <w:color w:val="000000"/>
                <w:sz w:val="24"/>
                <w:szCs w:val="24"/>
              </w:rPr>
              <w:t xml:space="preserve">企业资质</w:t>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sz w:val="24"/>
                <w:szCs w:val="24"/>
                <w:lang w:val="zh-CN"/>
              </w:rPr>
            </w:pPr>
            <w:r>
              <w:rPr>
                <w:color w:val="000000"/>
                <w:lang w:bidi="ar"/>
              </w:rPr>
              <w:t xml:space="preserve">3.1.1</w:t>
            </w:r>
            <w:r>
              <w:rPr>
                <w:color w:val="000000"/>
                <w:sz w:val="22"/>
                <w:szCs w:val="22"/>
                <w:lang w:bidi="ar"/>
              </w:rPr>
              <w:t xml:space="preserve">投标人具有国家认证认可监督管理委员会认可的机构颁发的有效期内的ISO9001质量管理体系认证、ISO20000信息技术服务管理体系认证、ISO27001信息安全管理体系认证。每提供1个得1分，不提供不得分，最高得3分。（提供有效证书扫描件或复印件并加盖投标人公章）</w:t>
            </w:r>
            <w:r>
              <w:rPr>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3</w:t>
            </w:r>
            <w:r/>
          </w:p>
        </w:tc>
      </w:tr>
      <w:tr>
        <w:trPr>
          <w:cantSplit/>
          <w:trHeight w:val="90"/>
        </w:trPr>
        <w:tc>
          <w:tcPr>
            <w:tcBorders>
              <w:left w:val="single" w:color="000000" w:sz="4" w:space="0"/>
              <w:right w:val="single" w:color="000000" w:sz="4" w:space="0"/>
            </w:tcBorders>
            <w:tcW w:w="1842" w:type="dxa"/>
            <w:vAlign w:val="center"/>
            <w:vMerge w:val="continue"/>
            <w:textDirection w:val="lrTb"/>
            <w:noWrap w:val="false"/>
          </w:tcPr>
          <w:p>
            <w:pPr>
              <w:pStyle w:val="903"/>
              <w:jc w:val="left"/>
              <w:widowControl/>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sz w:val="24"/>
                <w:szCs w:val="24"/>
                <w:lang w:val="zh-CN"/>
              </w:rPr>
            </w:pPr>
            <w:r>
              <w:rPr>
                <w:color w:val="000000"/>
                <w:lang w:bidi="ar"/>
              </w:rPr>
              <w:t xml:space="preserve">3.1.2投标人具有GB/T 30146-2023业务连续性管理体系认证证书、GB/T 37228-2025应急预案管理体系认证证书、GB/T 35966-2018 高技术质</w:t>
            </w:r>
            <w:r>
              <w:rPr>
                <w:color w:val="000000"/>
              </w:rPr>
              <w:t xml:space="preserve">量服务认证证书</w:t>
            </w:r>
            <w:r>
              <w:rPr>
                <w:color w:val="000000"/>
                <w:lang w:bidi="ar"/>
              </w:rPr>
              <w:t xml:space="preserve">每提供1个得2分，不提供不得分，最高得6分。（提供有效证书扫描件</w:t>
            </w:r>
            <w:r>
              <w:rPr>
                <w:color w:val="000000"/>
                <w:sz w:val="22"/>
                <w:szCs w:val="22"/>
                <w:lang w:bidi="ar"/>
              </w:rPr>
              <w:t xml:space="preserve">或复印件</w:t>
            </w:r>
            <w:r>
              <w:rPr>
                <w:color w:val="000000"/>
                <w:lang w:bidi="ar"/>
              </w:rPr>
              <w:t xml:space="preserve">并加盖投标人公章）</w:t>
            </w:r>
            <w:r>
              <w:rPr>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6</w:t>
            </w:r>
            <w:r/>
          </w:p>
        </w:tc>
      </w:tr>
      <w:tr>
        <w:trPr>
          <w:cantSplit/>
          <w:trHeight w:val="90"/>
        </w:trPr>
        <w:tc>
          <w:tcPr>
            <w:tcBorders>
              <w:left w:val="single" w:color="000000" w:sz="4" w:space="0"/>
              <w:bottom w:val="single" w:color="000000" w:sz="4" w:space="0"/>
              <w:right w:val="single" w:color="000000" w:sz="4" w:space="0"/>
            </w:tcBorders>
            <w:tcW w:w="1842" w:type="dxa"/>
            <w:vAlign w:val="center"/>
            <w:vMerge w:val="continue"/>
            <w:textDirection w:val="lrTb"/>
            <w:noWrap w:val="false"/>
          </w:tcPr>
          <w:p>
            <w:pPr>
              <w:pStyle w:val="903"/>
              <w:jc w:val="left"/>
              <w:widowControl/>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lang w:bidi="ar"/>
              </w:rPr>
            </w:pPr>
            <w:r>
              <w:rPr>
                <w:color w:val="000000"/>
                <w:lang w:bidi="ar"/>
              </w:rPr>
              <w:t xml:space="preserve">3.1.3投标人具备通信服务能力，根据投标人可支配使用的互联网IPV4/IPV6地址数量进行评分：具有具有5000万（含）个以上IPV4地址，以及5000（含）个/32块以上IPV6地址，得4分。其余不得分。（提供最新的中国互联网信息中心CNNIC发布的统计报告页面截图证明，未提供有效证明文件不得分）</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4</w:t>
            </w:r>
            <w:r/>
          </w:p>
        </w:tc>
      </w:tr>
      <w:tr>
        <w:trPr>
          <w:cantSplit/>
          <w:trHeight w:val="90"/>
        </w:trPr>
        <w:tc>
          <w:tcPr>
            <w:tcBorders>
              <w:top w:val="single" w:color="000000" w:sz="4" w:space="0"/>
              <w:left w:val="single" w:color="000000" w:sz="4" w:space="0"/>
              <w:bottom w:val="single" w:color="000000" w:sz="4" w:space="0"/>
              <w:right w:val="single" w:color="000000" w:sz="4" w:space="0"/>
            </w:tcBorders>
            <w:tcW w:w="1842" w:type="dxa"/>
            <w:vAlign w:val="center"/>
            <w:vMerge w:val="restart"/>
            <w:textDirection w:val="lrTb"/>
            <w:noWrap w:val="false"/>
          </w:tcPr>
          <w:p>
            <w:pPr>
              <w:pStyle w:val="903"/>
              <w:jc w:val="center"/>
              <w:widowControl/>
              <w:rPr>
                <w:color w:val="000000"/>
                <w:sz w:val="24"/>
                <w:szCs w:val="24"/>
              </w:rPr>
            </w:pPr>
            <w:r>
              <w:rPr>
                <w:color w:val="000000"/>
                <w:sz w:val="24"/>
                <w:szCs w:val="24"/>
              </w:rPr>
              <w:t xml:space="preserve">3.2</w:t>
            </w:r>
            <w:r/>
          </w:p>
          <w:p>
            <w:pPr>
              <w:pStyle w:val="903"/>
              <w:jc w:val="center"/>
              <w:widowControl/>
              <w:rPr>
                <w:color w:val="000000"/>
                <w:sz w:val="24"/>
                <w:szCs w:val="24"/>
              </w:rPr>
            </w:pPr>
            <w:r>
              <w:rPr>
                <w:color w:val="000000"/>
                <w:sz w:val="24"/>
                <w:szCs w:val="24"/>
              </w:rPr>
              <w:t xml:space="preserve">项目团队人员</w:t>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lang w:val="zh-CN"/>
              </w:rPr>
            </w:pPr>
            <w:r>
              <w:rPr>
                <w:color w:val="000000"/>
                <w:lang w:val="zh-CN"/>
              </w:rPr>
              <w:t xml:space="preserve">3.2.1投标人需针对本项目组建项目服务团队，配备1名项目经理，项目经理具备高级工程师证书（通信工程或电子信息类）、ITSS IT服务项目经理证书、一级建造师（通信与广电工程）、网络安全能力认证证书CCSC证书。每提供1类证书得1分，最高得</w:t>
            </w:r>
            <w:r>
              <w:rPr>
                <w:color w:val="000000"/>
              </w:rPr>
              <w:t xml:space="preserve">4</w:t>
            </w:r>
            <w:r>
              <w:rPr>
                <w:color w:val="000000"/>
                <w:lang w:val="zh-CN"/>
              </w:rPr>
              <w:t xml:space="preserve">分。（提供证书复印件、投标人近</w:t>
            </w:r>
            <w:r>
              <w:rPr>
                <w:color w:val="000000"/>
              </w:rPr>
              <w:t xml:space="preserve">3</w:t>
            </w:r>
            <w:r>
              <w:rPr>
                <w:color w:val="000000"/>
                <w:lang w:val="zh-CN"/>
              </w:rPr>
              <w:t xml:space="preserve">个月为其缴纳任意1个月的社保缴费证明材料并加盖公章）</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4</w:t>
            </w:r>
            <w:r/>
          </w:p>
        </w:tc>
      </w:tr>
      <w:tr>
        <w:trPr>
          <w:cantSplit/>
          <w:trHeight w:val="90"/>
        </w:trPr>
        <w:tc>
          <w:tcPr>
            <w:tcBorders>
              <w:top w:val="single" w:color="000000" w:sz="4" w:space="0"/>
              <w:left w:val="single" w:color="000000" w:sz="4" w:space="0"/>
              <w:bottom w:val="single" w:color="000000" w:sz="4" w:space="0"/>
              <w:right w:val="single" w:color="000000" w:sz="4" w:space="0"/>
            </w:tcBorders>
            <w:tcW w:w="1842" w:type="dxa"/>
            <w:vAlign w:val="center"/>
            <w:vMerge w:val="continue"/>
            <w:textDirection w:val="lrTb"/>
            <w:noWrap w:val="false"/>
          </w:tcPr>
          <w:p>
            <w:pPr>
              <w:pStyle w:val="903"/>
              <w:jc w:val="center"/>
              <w:widowControl/>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lang w:val="zh-CN"/>
              </w:rPr>
            </w:pPr>
            <w:r>
              <w:rPr>
                <w:color w:val="000000"/>
                <w:lang w:val="zh-CN"/>
              </w:rPr>
              <w:t xml:space="preserve">3.2.2投标人需针对本项目组建项目服务团队，配备1名技术负责人，技术负责人具备高级工程师证书（电子信息类）、信息系统项目管理师证书、系统规划与管理师证书、注册信息安全管理人员（CISP-CISO）证书。每提供1类证书得1分，最高得</w:t>
            </w:r>
            <w:r>
              <w:rPr>
                <w:color w:val="000000"/>
              </w:rPr>
              <w:t xml:space="preserve">4</w:t>
            </w:r>
            <w:r>
              <w:rPr>
                <w:color w:val="000000"/>
                <w:lang w:val="zh-CN"/>
              </w:rPr>
              <w:t xml:space="preserve">分。（提供证书复印件、投标人近</w:t>
            </w:r>
            <w:r>
              <w:rPr>
                <w:color w:val="000000"/>
              </w:rPr>
              <w:t xml:space="preserve">3</w:t>
            </w:r>
            <w:r>
              <w:rPr>
                <w:color w:val="000000"/>
                <w:lang w:val="zh-CN"/>
              </w:rPr>
              <w:t xml:space="preserve">个月为其缴纳任意1个月的社保缴费证明材料并加盖公章）</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4</w:t>
            </w:r>
            <w:r/>
          </w:p>
        </w:tc>
      </w:tr>
      <w:tr>
        <w:trPr>
          <w:cantSplit/>
          <w:trHeight w:val="90"/>
        </w:trPr>
        <w:tc>
          <w:tcPr>
            <w:tcBorders>
              <w:top w:val="single" w:color="000000" w:sz="4" w:space="0"/>
              <w:left w:val="single" w:color="000000" w:sz="4" w:space="0"/>
              <w:bottom w:val="single" w:color="000000" w:sz="4" w:space="0"/>
              <w:right w:val="single" w:color="000000" w:sz="4" w:space="0"/>
            </w:tcBorders>
            <w:tcW w:w="1842" w:type="dxa"/>
            <w:vAlign w:val="center"/>
            <w:vMerge w:val="continue"/>
            <w:textDirection w:val="lrTb"/>
            <w:noWrap w:val="false"/>
          </w:tcPr>
          <w:p>
            <w:pPr>
              <w:pStyle w:val="903"/>
              <w:jc w:val="center"/>
              <w:widowControl/>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lang w:val="zh-CN"/>
              </w:rPr>
            </w:pPr>
            <w:r>
              <w:rPr>
                <w:color w:val="000000"/>
                <w:lang w:val="zh-CN"/>
              </w:rPr>
              <w:t xml:space="preserve">3.2.3投标人需针对本项目组建项目服务团队，配备1名安全负责人，安全负责人具备高级工程师证书（电子信息工程类）、信息系统项目管理师证书、ITSS IT服务工程师证书、注册信息安全管理人员（CISP-CISO）证书，每提供1类证书得1分，最高得</w:t>
            </w:r>
            <w:r>
              <w:rPr>
                <w:color w:val="000000"/>
              </w:rPr>
              <w:t xml:space="preserve">4</w:t>
            </w:r>
            <w:r>
              <w:rPr>
                <w:color w:val="000000"/>
                <w:lang w:val="zh-CN"/>
              </w:rPr>
              <w:t xml:space="preserve">分。（提供证书复印件、投标人近</w:t>
            </w:r>
            <w:r>
              <w:rPr>
                <w:color w:val="000000"/>
              </w:rPr>
              <w:t xml:space="preserve">3</w:t>
            </w:r>
            <w:r>
              <w:rPr>
                <w:color w:val="000000"/>
                <w:lang w:val="zh-CN"/>
              </w:rPr>
              <w:t xml:space="preserve">个月为其缴纳任意1个月的社保缴费证明材料并加盖公章）</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4</w:t>
            </w:r>
            <w:r/>
          </w:p>
        </w:tc>
      </w:tr>
      <w:tr>
        <w:trPr>
          <w:cantSplit/>
          <w:trHeight w:val="645"/>
        </w:trPr>
        <w:tc>
          <w:tcPr>
            <w:tcBorders>
              <w:top w:val="single" w:color="000000" w:sz="4" w:space="0"/>
              <w:left w:val="single" w:color="000000" w:sz="4" w:space="0"/>
              <w:bottom w:val="single" w:color="000000" w:sz="4" w:space="0"/>
              <w:right w:val="single" w:color="000000" w:sz="4" w:space="0"/>
            </w:tcBorders>
            <w:tcW w:w="1842" w:type="dxa"/>
            <w:vAlign w:val="center"/>
            <w:vMerge w:val="continue"/>
            <w:textDirection w:val="lrTb"/>
            <w:noWrap w:val="false"/>
          </w:tcPr>
          <w:p>
            <w:pPr>
              <w:pStyle w:val="903"/>
              <w:jc w:val="left"/>
              <w:widowControl/>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lang w:val="zh-CN"/>
              </w:rPr>
            </w:pPr>
            <w:r>
              <w:rPr>
                <w:color w:val="000000"/>
                <w:lang w:val="zh-CN"/>
              </w:rPr>
              <w:t xml:space="preserve">3.2.4除项目经理，技术负责人，安全负责人外，其它团队成员中有注册信息安全工程师CISP认证证书、高级网络规划</w:t>
            </w:r>
            <w:r>
              <w:rPr>
                <w:color w:val="000000"/>
              </w:rPr>
              <w:t xml:space="preserve">设计</w:t>
            </w:r>
            <w:r>
              <w:rPr>
                <w:color w:val="000000"/>
                <w:lang w:val="zh-CN"/>
              </w:rPr>
              <w:t xml:space="preserve">师、信息安全保障人员认证证书CISAW</w:t>
            </w:r>
            <w:r>
              <w:rPr>
                <w:color w:val="000000"/>
              </w:rPr>
              <w:t xml:space="preserve">（安全运维或应急服务）、注册信息系统安全专家（CISSP），</w:t>
            </w:r>
            <w:r>
              <w:rPr>
                <w:color w:val="000000"/>
                <w:lang w:val="zh-CN"/>
              </w:rPr>
              <w:t xml:space="preserve">每提供1类证书得1分，最高得2分，一人多证按一证计算。</w:t>
            </w:r>
            <w:r/>
          </w:p>
          <w:p>
            <w:pPr>
              <w:pStyle w:val="903"/>
              <w:rPr>
                <w:color w:val="000000"/>
                <w:lang w:val="zh-CN"/>
              </w:rPr>
            </w:pPr>
            <w:r>
              <w:rPr>
                <w:color w:val="000000"/>
                <w:lang w:val="zh-CN"/>
              </w:rPr>
              <w:t xml:space="preserve">（提供投标人近</w:t>
            </w:r>
            <w:r>
              <w:rPr>
                <w:color w:val="000000"/>
              </w:rPr>
              <w:t xml:space="preserve">3</w:t>
            </w:r>
            <w:r>
              <w:rPr>
                <w:color w:val="000000"/>
                <w:lang w:val="zh-CN"/>
              </w:rPr>
              <w:t xml:space="preserve">个月内为以上人员缴纳的任意1个月的社保缴费证明复印件，以及上述人员相关证书复印件，并加盖投标人公章，否则不得分)</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2</w:t>
            </w:r>
            <w:r/>
          </w:p>
        </w:tc>
      </w:tr>
      <w:tr>
        <w:trPr>
          <w:trHeight w:val="443"/>
        </w:trPr>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3"/>
              <w:jc w:val="center"/>
              <w:widowControl/>
              <w:rPr>
                <w:color w:val="000000"/>
                <w:sz w:val="24"/>
                <w:szCs w:val="24"/>
              </w:rPr>
            </w:pPr>
            <w:r>
              <w:rPr>
                <w:color w:val="000000"/>
                <w:sz w:val="24"/>
                <w:szCs w:val="24"/>
              </w:rPr>
              <w:t xml:space="preserve">3.3</w:t>
            </w:r>
            <w:r/>
          </w:p>
          <w:p>
            <w:pPr>
              <w:pStyle w:val="903"/>
              <w:jc w:val="center"/>
              <w:widowControl/>
              <w:rPr>
                <w:color w:val="000000"/>
                <w:sz w:val="24"/>
                <w:szCs w:val="24"/>
              </w:rPr>
            </w:pPr>
            <w:r>
              <w:rPr>
                <w:color w:val="000000"/>
                <w:sz w:val="24"/>
                <w:szCs w:val="24"/>
              </w:rPr>
              <w:t xml:space="preserve">业绩和履约能力</w:t>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szCs w:val="24"/>
                <w:lang w:val="zh-CN"/>
              </w:rPr>
            </w:pPr>
            <w:r>
              <w:rPr>
                <w:color w:val="000000"/>
                <w:lang w:val="zh-CN"/>
              </w:rPr>
              <w:t xml:space="preserve">投标人具备自2023年1月1日以来（以合同签订日期为准）的同时具有视频监控和网络线路租用的项目案例，每提供1个得2分，最高得6分。（提供有效合同复印件并加盖投标人公章）</w:t>
            </w:r>
            <w:r>
              <w:rPr>
                <w:color w:val="000000"/>
                <w:szCs w:val="24"/>
                <w:lang w:val="zh-CN"/>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6</w:t>
            </w:r>
            <w:r/>
          </w:p>
        </w:tc>
      </w:tr>
      <w:tr>
        <w:trPr>
          <w:trHeight w:val="443"/>
        </w:trPr>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3"/>
              <w:jc w:val="center"/>
              <w:widowControl/>
              <w:rPr>
                <w:color w:val="000000"/>
                <w:sz w:val="24"/>
                <w:szCs w:val="24"/>
              </w:rPr>
            </w:pPr>
            <w:r>
              <w:rPr>
                <w:color w:val="000000"/>
                <w:sz w:val="24"/>
                <w:szCs w:val="24"/>
              </w:rPr>
              <w:t xml:space="preserve">3.4</w:t>
            </w:r>
            <w:r/>
          </w:p>
          <w:p>
            <w:pPr>
              <w:pStyle w:val="903"/>
              <w:jc w:val="center"/>
              <w:widowControl/>
              <w:rPr>
                <w:color w:val="000000"/>
                <w:sz w:val="24"/>
                <w:szCs w:val="24"/>
              </w:rPr>
            </w:pPr>
            <w:r>
              <w:rPr>
                <w:color w:val="000000"/>
                <w:sz w:val="24"/>
                <w:szCs w:val="24"/>
              </w:rPr>
              <w:t xml:space="preserve">软件著作权</w:t>
            </w:r>
            <w:r/>
          </w:p>
        </w:tc>
        <w:tc>
          <w:tcPr>
            <w:tcBorders>
              <w:top w:val="single" w:color="000000" w:sz="4" w:space="0"/>
              <w:left w:val="single" w:color="000000" w:sz="4" w:space="0"/>
              <w:bottom w:val="single" w:color="000000" w:sz="4" w:space="0"/>
              <w:right w:val="single" w:color="000000" w:sz="4" w:space="0"/>
            </w:tcBorders>
            <w:tcW w:w="5420" w:type="dxa"/>
            <w:vAlign w:val="center"/>
            <w:textDirection w:val="lrTb"/>
            <w:noWrap w:val="false"/>
          </w:tcPr>
          <w:p>
            <w:pPr>
              <w:pStyle w:val="903"/>
              <w:rPr>
                <w:color w:val="000000"/>
                <w:lang w:val="zh-CN"/>
              </w:rPr>
            </w:pPr>
            <w:r>
              <w:rPr>
                <w:color w:val="000000"/>
                <w:lang w:val="zh-CN"/>
              </w:rPr>
              <w:t xml:space="preserve">投标人具有软件著作权证书，证书名包含“网管接口监控”“光网络故障定位”“宽带线路检测”“线路维护可视化”关键词之一，每提供一类得1分，最高得3分。（提供有效证书扫描件并加盖投标人公章）（如投标文件中提供的著作权名称表述与招标文件描述的关键词不一致，而该投标文件中能证明投标人拥有的软件著作权具有相同或相似功能和效果，且评标委员会认可的，视同符合要求）</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pStyle w:val="903"/>
              <w:jc w:val="center"/>
              <w:rPr>
                <w:color w:val="000000"/>
                <w:sz w:val="24"/>
                <w:szCs w:val="24"/>
              </w:rPr>
            </w:pPr>
            <w:r>
              <w:rPr>
                <w:color w:val="000000"/>
                <w:sz w:val="24"/>
                <w:szCs w:val="24"/>
              </w:rPr>
              <w:t xml:space="preserve">3</w:t>
            </w:r>
            <w:r/>
          </w:p>
        </w:tc>
      </w:tr>
    </w:tbl>
    <w:p>
      <w:pPr>
        <w:pStyle w:val="918"/>
        <w:ind w:firstLine="0"/>
        <w:rPr>
          <w:b/>
          <w:color w:val="000000"/>
          <w:sz w:val="22"/>
          <w:szCs w:val="22"/>
        </w:rPr>
      </w:pPr>
      <w:r>
        <w:rPr>
          <w:b/>
          <w:color w:val="000000"/>
          <w:sz w:val="22"/>
          <w:szCs w:val="22"/>
        </w:rPr>
        <w:t xml:space="preserve">说明： 以上证明、证书、认证等资料均需提供扫描件或复印件。采购人将在合同签订前对以上评分项目中证明材料原件及承诺的能力情况进行核查，如果发现与投标文件所载内容不符，采购人有权报告政府采购监督管理部门依据相关法律法规处理。</w:t>
      </w:r>
      <w:r/>
    </w:p>
    <w:p>
      <w:pPr>
        <w:pStyle w:val="903"/>
        <w:rPr>
          <w:rFonts w:hint="eastAsia"/>
          <w:color w:val="000000"/>
          <w:lang w:val="en-US"/>
        </w:rPr>
      </w:pPr>
      <w:r>
        <w:rPr>
          <w:rFonts w:hint="eastAsia"/>
          <w:color w:val="000000"/>
          <w:lang w:val="en-US"/>
        </w:rPr>
      </w:r>
      <w:r/>
    </w:p>
    <w:p>
      <w:pPr>
        <w:pStyle w:val="903"/>
        <w:rPr>
          <w:rFonts w:hint="eastAsia"/>
          <w:color w:val="000000"/>
        </w:rPr>
      </w:pPr>
      <w:r>
        <w:rPr>
          <w:rFonts w:hint="eastAsia"/>
          <w:color w:val="000000"/>
        </w:rPr>
      </w:r>
      <w:r/>
    </w:p>
    <w:p>
      <w:pPr>
        <w:pStyle w:val="904"/>
        <w:jc w:val="left"/>
        <w:rPr>
          <w:rFonts w:ascii="黑体" w:eastAsia="黑体"/>
          <w:bCs/>
          <w:color w:val="000000"/>
          <w:sz w:val="44"/>
        </w:rPr>
      </w:pPr>
      <w:r>
        <w:rPr>
          <w:rFonts w:ascii="黑体" w:eastAsia="黑体"/>
          <w:bCs/>
          <w:color w:val="000000"/>
          <w:sz w:val="44"/>
        </w:rPr>
      </w:r>
      <w:r/>
    </w:p>
    <w:p>
      <w:pPr>
        <w:pStyle w:val="904"/>
        <w:rPr>
          <w:rFonts w:ascii="黑体" w:eastAsia="黑体"/>
          <w:bCs/>
          <w:color w:val="000000"/>
          <w:sz w:val="44"/>
        </w:rPr>
      </w:pPr>
      <w:r>
        <w:rPr>
          <w:rFonts w:ascii="黑体" w:eastAsia="黑体"/>
          <w:bCs/>
          <w:color w:val="000000"/>
          <w:sz w:val="44"/>
        </w:rPr>
      </w:r>
      <w:r/>
    </w:p>
    <w:p>
      <w:pPr>
        <w:pStyle w:val="904"/>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234"/>
      <w:r>
        <w:rPr>
          <w:rFonts w:hint="eastAsia" w:ascii="黑体" w:eastAsia="黑体"/>
          <w:bCs/>
          <w:color w:val="000000"/>
          <w:sz w:val="44"/>
        </w:rPr>
        <w:t xml:space="preserve">文件格式 </w:t>
      </w:r>
      <w:r/>
    </w:p>
    <w:p>
      <w:pPr>
        <w:pStyle w:val="903"/>
        <w:jc w:val="center"/>
        <w:rPr>
          <w:rFonts w:hint="eastAsia" w:ascii="宋体" w:hAnsi="宋体"/>
          <w:b/>
          <w:color w:val="000000"/>
          <w:sz w:val="72"/>
        </w:rPr>
      </w:pPr>
      <w:r/>
      <w:bookmarkStart w:id="248" w:name="_Hlt26955039"/>
      <w:r/>
      <w:bookmarkEnd w:id="248"/>
      <w:r/>
      <w:bookmarkStart w:id="249" w:name="_Hlt26671244"/>
      <w:r/>
      <w:bookmarkEnd w:id="249"/>
      <w:r/>
      <w:bookmarkStart w:id="250" w:name="_Toc49090576"/>
      <w:r/>
      <w:bookmarkStart w:id="251" w:name="_Toc120614282"/>
      <w:r/>
      <w:bookmarkStart w:id="252" w:name="_Toc26554094"/>
      <w:r>
        <w:rPr>
          <w:rFonts w:hint="eastAsia" w:ascii="宋体" w:hAnsi="宋体"/>
          <w:b/>
          <w:color w:val="000000"/>
          <w:sz w:val="72"/>
        </w:rPr>
      </w:r>
      <w:r/>
    </w:p>
    <w:p>
      <w:pPr>
        <w:pStyle w:val="903"/>
        <w:jc w:val="center"/>
        <w:rPr>
          <w:rFonts w:hint="eastAsia" w:ascii="宋体" w:hAnsi="宋体"/>
          <w:b/>
          <w:color w:val="000000"/>
          <w:sz w:val="72"/>
        </w:rPr>
      </w:pPr>
      <w:r>
        <w:rPr>
          <w:rFonts w:hint="eastAsia" w:ascii="宋体" w:hAnsi="宋体"/>
          <w:b/>
          <w:color w:val="000000"/>
          <w:sz w:val="72"/>
        </w:rPr>
        <w:t xml:space="preserve">投  标  文  件</w:t>
      </w:r>
      <w:r/>
    </w:p>
    <w:p>
      <w:pPr>
        <w:pStyle w:val="903"/>
        <w:jc w:val="center"/>
        <w:rPr>
          <w:rFonts w:hint="eastAsia" w:ascii="宋体" w:hAnsi="宋体"/>
          <w:b/>
          <w:color w:val="000000"/>
          <w:sz w:val="72"/>
        </w:rPr>
      </w:pPr>
      <w:r>
        <w:rPr>
          <w:rFonts w:hint="eastAsia" w:ascii="宋体" w:hAnsi="宋体"/>
          <w:b/>
          <w:color w:val="000000"/>
          <w:sz w:val="72"/>
        </w:rPr>
      </w:r>
      <w:r/>
    </w:p>
    <w:p>
      <w:pPr>
        <w:pStyle w:val="903"/>
        <w:jc w:val="center"/>
        <w:rPr>
          <w:rFonts w:hint="eastAsia" w:ascii="宋体" w:hAnsi="宋体"/>
          <w:b/>
          <w:color w:val="000000"/>
          <w:sz w:val="72"/>
        </w:rPr>
      </w:pPr>
      <w:r>
        <w:rPr>
          <w:rFonts w:hint="eastAsia" w:ascii="宋体" w:hAnsi="宋体"/>
          <w:b/>
          <w:color w:val="000000"/>
          <w:sz w:val="72"/>
        </w:rPr>
      </w:r>
      <w:r/>
    </w:p>
    <w:p>
      <w:pPr>
        <w:pStyle w:val="903"/>
        <w:jc w:val="center"/>
        <w:rPr>
          <w:rFonts w:hint="eastAsia" w:ascii="宋体" w:hAnsi="宋体"/>
          <w:b/>
          <w:color w:val="000000"/>
          <w:sz w:val="36"/>
        </w:rPr>
      </w:pPr>
      <w:r>
        <w:rPr>
          <w:rFonts w:hint="eastAsia" w:ascii="宋体" w:hAnsi="宋体"/>
          <w:b/>
          <w:color w:val="000000"/>
          <w:sz w:val="36"/>
        </w:rPr>
      </w:r>
      <w:r/>
    </w:p>
    <w:p>
      <w:pPr>
        <w:pStyle w:val="903"/>
        <w:jc w:val="center"/>
        <w:rPr>
          <w:rFonts w:hint="eastAsia" w:ascii="宋体" w:hAnsi="宋体"/>
          <w:b/>
          <w:color w:val="000000"/>
          <w:sz w:val="36"/>
        </w:rPr>
      </w:pPr>
      <w:r>
        <w:rPr>
          <w:rFonts w:hint="eastAsia" w:ascii="宋体" w:hAnsi="宋体"/>
          <w:b/>
          <w:color w:val="000000"/>
          <w:sz w:val="36"/>
        </w:rPr>
      </w:r>
      <w:r/>
    </w:p>
    <w:p>
      <w:pPr>
        <w:pStyle w:val="903"/>
        <w:jc w:val="center"/>
        <w:rPr>
          <w:rFonts w:hint="eastAsia" w:ascii="宋体" w:hAnsi="宋体"/>
          <w:b/>
          <w:color w:val="000000"/>
          <w:sz w:val="36"/>
        </w:rPr>
      </w:pPr>
      <w:r>
        <w:rPr>
          <w:rFonts w:hint="eastAsia" w:ascii="宋体" w:hAnsi="宋体"/>
          <w:b/>
          <w:color w:val="000000"/>
          <w:sz w:val="36"/>
        </w:rPr>
      </w:r>
      <w:r/>
    </w:p>
    <w:p>
      <w:pPr>
        <w:pStyle w:val="903"/>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03"/>
        <w:ind w:firstLine="1084"/>
        <w:rPr>
          <w:rFonts w:hint="eastAsia" w:ascii="宋体" w:hAnsi="宋体"/>
          <w:b/>
          <w:color w:val="000000"/>
          <w:sz w:val="36"/>
          <w:u w:val="single"/>
        </w:rPr>
      </w:pPr>
      <w:r>
        <w:rPr>
          <w:rFonts w:hint="eastAsia" w:ascii="宋体" w:hAnsi="宋体"/>
          <w:b/>
          <w:color w:val="000000"/>
          <w:sz w:val="36"/>
        </w:rPr>
        <w:t xml:space="preserve">采 购 编 号：</w:t>
      </w:r>
      <w:r>
        <w:rPr>
          <w:rFonts w:hint="eastAsia" w:ascii="宋体" w:hAnsi="宋体"/>
          <w:b/>
          <w:color w:val="000000"/>
          <w:sz w:val="36"/>
          <w:u w:val="single"/>
        </w:rPr>
        <w:t xml:space="preserve">               </w:t>
      </w:r>
      <w:r/>
    </w:p>
    <w:p>
      <w:pPr>
        <w:pStyle w:val="903"/>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pStyle w:val="903"/>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spacing w:line="440" w:lineRule="exact"/>
        <w:rPr>
          <w:rFonts w:ascii="宋体" w:hAnsi="宋体"/>
          <w:color w:val="000000"/>
        </w:rPr>
      </w:pPr>
      <w:r>
        <w:rPr>
          <w:rFonts w:ascii="宋体" w:hAnsi="宋体"/>
          <w:color w:val="000000"/>
        </w:rPr>
      </w:r>
      <w:r/>
    </w:p>
    <w:p>
      <w:pPr>
        <w:pStyle w:val="903"/>
        <w:ind w:firstLine="1084"/>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ind w:left="480"/>
        <w:spacing w:line="400" w:lineRule="exact"/>
        <w:rPr>
          <w:rFonts w:ascii="宋体" w:hAnsi="宋体"/>
          <w:b/>
          <w:color w:val="000000"/>
          <w:sz w:val="24"/>
        </w:rPr>
      </w:pPr>
      <w:r>
        <w:rPr>
          <w:rFonts w:hint="eastAsia" w:ascii="宋体" w:hAnsi="宋体"/>
          <w:b/>
          <w:color w:val="000000"/>
          <w:sz w:val="24"/>
        </w:rPr>
        <w:t xml:space="preserve">一、基本目录</w:t>
      </w:r>
      <w:r>
        <w:rPr>
          <w:rFonts w:ascii="宋体" w:hAnsi="宋体"/>
          <w:b/>
          <w:color w:val="000000"/>
          <w:sz w:val="24"/>
        </w:rPr>
      </w:r>
      <w:r/>
    </w:p>
    <w:p>
      <w:pPr>
        <w:pStyle w:val="903"/>
        <w:ind w:left="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p>
    <w:p>
      <w:pPr>
        <w:pStyle w:val="903"/>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rPr>
          <w:rFonts w:ascii="宋体" w:hAnsi="宋体"/>
          <w:color w:val="000000"/>
          <w:sz w:val="24"/>
        </w:rPr>
      </w:r>
      <w:r/>
    </w:p>
    <w:p>
      <w:pPr>
        <w:pStyle w:val="903"/>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rPr>
          <w:rFonts w:ascii="宋体" w:hAnsi="宋体"/>
          <w:color w:val="000000"/>
          <w:sz w:val="24"/>
        </w:rPr>
      </w:r>
      <w:r/>
    </w:p>
    <w:p>
      <w:pPr>
        <w:pStyle w:val="903"/>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rPr>
          <w:rFonts w:ascii="宋体" w:hAnsi="宋体"/>
          <w:color w:val="000000"/>
          <w:sz w:val="24"/>
        </w:rPr>
      </w:r>
      <w:r/>
    </w:p>
    <w:p>
      <w:pPr>
        <w:pStyle w:val="903"/>
        <w:ind w:left="480"/>
        <w:spacing w:line="400" w:lineRule="exact"/>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rPr>
          <w:rFonts w:hint="eastAsia" w:ascii="宋体" w:hAnsi="宋体"/>
          <w:b/>
          <w:color w:val="000000"/>
          <w:sz w:val="24"/>
        </w:rPr>
      </w:r>
      <w:r/>
    </w:p>
    <w:p>
      <w:pPr>
        <w:pStyle w:val="903"/>
        <w:ind w:left="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p>
    <w:p>
      <w:pPr>
        <w:pStyle w:val="903"/>
        <w:ind w:left="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上一年度的财务状况报告（投标人成立不满一年无需提供）</w:t>
      </w:r>
      <w:r/>
    </w:p>
    <w:p>
      <w:pPr>
        <w:pStyle w:val="903"/>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rPr>
          <w:rFonts w:ascii="宋体" w:hAnsi="宋体"/>
          <w:color w:val="000000"/>
          <w:sz w:val="24"/>
        </w:rPr>
      </w:r>
      <w:r/>
    </w:p>
    <w:p>
      <w:pPr>
        <w:pStyle w:val="903"/>
        <w:spacing w:line="400" w:lineRule="exact"/>
        <w:rPr>
          <w:rFonts w:hint="eastAsia"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p>
    <w:p>
      <w:pPr>
        <w:pStyle w:val="903"/>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rPr>
          <w:rFonts w:ascii="宋体" w:hAnsi="宋体"/>
          <w:color w:val="000000"/>
          <w:sz w:val="24"/>
        </w:rPr>
      </w:r>
      <w:r/>
    </w:p>
    <w:p>
      <w:pPr>
        <w:pStyle w:val="903"/>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w:t>
      </w:r>
      <w:r>
        <w:rPr>
          <w:rFonts w:ascii="宋体" w:hAnsi="宋体"/>
          <w:color w:val="000000"/>
          <w:sz w:val="24"/>
        </w:rPr>
      </w:r>
      <w:r/>
    </w:p>
    <w:p>
      <w:pPr>
        <w:pStyle w:val="903"/>
        <w:spacing w:line="400" w:lineRule="exact"/>
        <w:rPr>
          <w:rFonts w:hint="eastAsia"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附件6</w:t>
      </w:r>
      <w:r>
        <w:rPr>
          <w:rFonts w:hint="eastAsia" w:ascii="宋体" w:hAnsi="宋体"/>
          <w:color w:val="000000"/>
          <w:sz w:val="24"/>
        </w:rPr>
        <w:t xml:space="preserve">）</w:t>
      </w:r>
      <w:r/>
    </w:p>
    <w:p>
      <w:pPr>
        <w:pStyle w:val="903"/>
        <w:ind w:firstLine="480"/>
        <w:spacing w:line="40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p>
    <w:p>
      <w:pPr>
        <w:pStyle w:val="903"/>
        <w:ind w:firstLine="480"/>
        <w:spacing w:line="4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olor w:val="000000"/>
          <w:sz w:val="24"/>
        </w:rPr>
      </w:r>
      <w:r/>
    </w:p>
    <w:p>
      <w:pPr>
        <w:pStyle w:val="903"/>
        <w:ind w:firstLine="480"/>
        <w:spacing w:line="400" w:lineRule="exact"/>
        <w:rPr>
          <w:rFonts w:hint="eastAsia" w:ascii="宋体" w:hAnsi="宋体"/>
          <w:color w:val="000000"/>
          <w:sz w:val="24"/>
        </w:rPr>
      </w:pPr>
      <w:r>
        <w:rPr>
          <w:rFonts w:ascii="宋体" w:hAnsi="宋体"/>
          <w:color w:val="000000"/>
          <w:sz w:val="24"/>
        </w:rPr>
        <w:t xml:space="preserve">8.</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p>
    <w:p>
      <w:pPr>
        <w:pStyle w:val="903"/>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p>
    <w:p>
      <w:pPr>
        <w:pStyle w:val="903"/>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总备注：上述“资格审查内容”中1-5条、8、9条投标人必须在投标文件中提</w:t>
      </w: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供相关材料，否则作无效投标处理；6、10、11、12条如招标文件要求必须提供相关材料而未提供的，作无效投标处理。</w:t>
      </w:r>
      <w:r>
        <w:rPr>
          <w:rFonts w:ascii="宋体" w:hAnsi="宋体"/>
          <w:color w:val="000000"/>
          <w:sz w:val="24"/>
          <w:szCs w:val="24"/>
        </w:rPr>
      </w:r>
      <w:r/>
    </w:p>
    <w:p>
      <w:pPr>
        <w:pStyle w:val="903"/>
        <w:ind w:left="480"/>
        <w:spacing w:line="400" w:lineRule="exact"/>
        <w:rPr>
          <w:rFonts w:hint="eastAsia"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rPr>
          <w:rFonts w:hint="eastAsia" w:ascii="宋体" w:hAnsi="宋体"/>
          <w:b/>
          <w:color w:val="000000"/>
          <w:sz w:val="24"/>
        </w:rPr>
      </w:r>
      <w:r/>
    </w:p>
    <w:p>
      <w:pPr>
        <w:pStyle w:val="903"/>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p>
    <w:p>
      <w:pPr>
        <w:pStyle w:val="903"/>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p>
    <w:p>
      <w:pPr>
        <w:pStyle w:val="903"/>
        <w:ind w:firstLine="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p>
    <w:p>
      <w:pPr>
        <w:pStyle w:val="903"/>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p>
    <w:p>
      <w:pPr>
        <w:pStyle w:val="903"/>
        <w:ind w:firstLine="480"/>
        <w:spacing w:line="400" w:lineRule="exact"/>
        <w:rPr>
          <w:rFonts w:hint="eastAsia" w:ascii="宋体" w:hAnsi="宋体"/>
          <w:color w:val="000000"/>
          <w:sz w:val="24"/>
        </w:rPr>
      </w:pPr>
      <w:r>
        <w:rPr>
          <w:rFonts w:hint="eastAsia" w:ascii="宋体" w:hAnsi="宋体"/>
          <w:color w:val="000000"/>
          <w:sz w:val="24"/>
        </w:rPr>
        <w:t xml:space="preserve">3.关于符合本国产品标准的声明函（格式见附件13）</w:t>
      </w:r>
      <w:r/>
    </w:p>
    <w:p>
      <w:pPr>
        <w:pStyle w:val="903"/>
        <w:ind w:firstLine="480"/>
        <w:spacing w:line="440" w:lineRule="exact"/>
        <w:rPr>
          <w:rFonts w:ascii="宋体" w:hAnsi="宋体"/>
          <w:color w:val="000000"/>
          <w:sz w:val="24"/>
        </w:rPr>
      </w:pPr>
      <w:r>
        <w:rPr>
          <w:rFonts w:ascii="宋体" w:hAnsi="宋体"/>
          <w:color w:val="000000"/>
          <w:sz w:val="24"/>
        </w:rPr>
      </w:r>
      <w:r/>
    </w:p>
    <w:p>
      <w:pPr>
        <w:pStyle w:val="903"/>
        <w:rPr>
          <w:rFonts w:ascii="宋体" w:hAnsi="宋体"/>
          <w:b/>
          <w:color w:val="000000"/>
          <w:sz w:val="24"/>
          <w:szCs w:val="24"/>
        </w:rPr>
      </w:pPr>
      <w:r>
        <w:rPr>
          <w:rFonts w:ascii="宋体" w:hAnsi="宋体"/>
          <w:b/>
          <w:color w:val="000000"/>
          <w:sz w:val="24"/>
          <w:szCs w:val="24"/>
        </w:rPr>
      </w:r>
      <w:r/>
    </w:p>
    <w:p>
      <w:pPr>
        <w:pStyle w:val="903"/>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903"/>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903"/>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03"/>
        <w:ind w:firstLine="482"/>
        <w:spacing w:line="0" w:lineRule="atLeast"/>
        <w:rPr>
          <w:rFonts w:ascii="宋体" w:hAnsi="宋体"/>
          <w:color w:val="000000"/>
          <w:sz w:val="24"/>
          <w:szCs w:val="24"/>
        </w:rPr>
      </w:pPr>
      <w:r>
        <w:rPr>
          <w:rFonts w:hint="eastAsia" w:ascii="宋体" w:hAnsi="宋体"/>
          <w:color w:val="000000"/>
          <w:sz w:val="24"/>
          <w:szCs w:val="24"/>
        </w:rPr>
        <w:t xml:space="preserve">采购编号：                                   </w:t>
      </w:r>
      <w:r>
        <w:rPr>
          <w:rFonts w:ascii="宋体" w:hAnsi="宋体"/>
          <w:color w:val="000000"/>
          <w:sz w:val="24"/>
          <w:szCs w:val="24"/>
        </w:rPr>
      </w:r>
      <w:r/>
    </w:p>
    <w:p>
      <w:pPr>
        <w:pStyle w:val="903"/>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3"/>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t xml:space="preserve">：                        （</w:t>
            </w:r>
            <w:r>
              <w:rPr>
                <w:color w:val="000000"/>
                <w:sz w:val="24"/>
                <w:szCs w:val="24"/>
              </w:rPr>
              <w:t xml:space="preserve">元/年</w:t>
            </w:r>
            <w:r>
              <w:rPr>
                <w:rFonts w:hint="eastAsia" w:ascii="宋体" w:hAnsi="宋体"/>
                <w:color w:val="000000"/>
                <w:sz w:val="24"/>
                <w:szCs w:val="24"/>
              </w:rPr>
              <w:t xml:space="preserve">）</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90"/>
              <w:ind w:firstLine="0"/>
              <w:spacing w:before="0" w:after="0" w:line="500" w:lineRule="exact"/>
              <w:rPr>
                <w:rFonts w:hint="eastAsia" w:ascii="宋体" w:hAnsi="宋体"/>
                <w:color w:val="000000"/>
                <w:szCs w:val="21"/>
                <w:lang w:val="en-US" w:eastAsia="zh-CN"/>
              </w:rPr>
            </w:pPr>
            <w:r>
              <w:rPr>
                <w:rFonts w:hint="eastAsia" w:ascii="宋体" w:hAnsi="宋体" w:cs="宋体"/>
                <w:color w:val="000000"/>
                <w:lang w:val="en-US" w:eastAsia="zh-CN"/>
              </w:rPr>
              <w:t xml:space="preserve">小写：                             （人民币：元）</w:t>
            </w:r>
            <w:r>
              <w:rPr>
                <w:rFonts w:hint="eastAsia" w:ascii="宋体" w:hAnsi="宋体"/>
                <w:color w:val="000000"/>
                <w:szCs w:val="21"/>
                <w:lang w:val="en-US" w:eastAsia="zh-CN"/>
              </w:rPr>
            </w:r>
            <w:r/>
          </w:p>
        </w:tc>
      </w:tr>
    </w:tbl>
    <w:p>
      <w:pPr>
        <w:pStyle w:val="903"/>
        <w:ind w:firstLine="480"/>
        <w:rPr>
          <w:rFonts w:hint="eastAsia" w:ascii="宋体" w:hAnsi="宋体"/>
          <w:b/>
          <w:color w:val="000000"/>
          <w:sz w:val="24"/>
          <w:szCs w:val="24"/>
        </w:rPr>
      </w:pPr>
      <w:r>
        <w:rPr>
          <w:rFonts w:hint="eastAsia" w:ascii="宋体" w:hAnsi="宋体"/>
          <w:b/>
          <w:color w:val="000000"/>
          <w:sz w:val="24"/>
          <w:szCs w:val="24"/>
        </w:rPr>
        <w:t xml:space="preserve">注：请供应商按照一年的预算报价。</w:t>
      </w:r>
      <w:r>
        <w:rPr>
          <w:rFonts w:hint="eastAsia" w:ascii="宋体" w:hAnsi="宋体"/>
          <w:b/>
          <w:color w:val="000000"/>
          <w:sz w:val="24"/>
          <w:szCs w:val="24"/>
        </w:rPr>
      </w:r>
      <w:r/>
    </w:p>
    <w:p>
      <w:pPr>
        <w:pStyle w:val="903"/>
        <w:jc w:val="center"/>
        <w:rPr>
          <w:rFonts w:ascii="宋体" w:hAnsi="宋体"/>
          <w:b/>
          <w:color w:val="000000"/>
          <w:sz w:val="24"/>
          <w:szCs w:val="24"/>
        </w:rPr>
      </w:pPr>
      <w:r>
        <w:rPr>
          <w:rFonts w:ascii="宋体" w:hAnsi="宋体"/>
          <w:b/>
          <w:color w:val="000000"/>
          <w:sz w:val="24"/>
          <w:szCs w:val="24"/>
        </w:rPr>
      </w:r>
      <w:r/>
    </w:p>
    <w:p>
      <w:pPr>
        <w:pStyle w:val="903"/>
        <w:jc w:val="center"/>
        <w:spacing w:line="560" w:lineRule="exact"/>
        <w:rPr>
          <w:rFonts w:hint="eastAsia" w:ascii="方正黑体_GBK" w:hAnsi="方正黑体_GBK" w:eastAsia="方正黑体_GBK" w:cs="方正黑体_GBK"/>
          <w:bCs/>
          <w:color w:val="000000"/>
          <w:sz w:val="32"/>
          <w:szCs w:val="32"/>
        </w:rPr>
      </w:pPr>
      <w:r>
        <w:rPr>
          <w:rFonts w:hint="eastAsia" w:ascii="方正黑体_GBK" w:hAnsi="方正黑体_GBK" w:eastAsia="方正黑体_GBK" w:cs="方正黑体_GBK"/>
          <w:bCs/>
          <w:color w:val="000000"/>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color w:val="000000"/>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序号</w:t>
            </w:r>
            <w:r/>
          </w:p>
        </w:tc>
        <w:tc>
          <w:tcPr>
            <w:tcW w:w="1106"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1</w:t>
            </w:r>
            <w:r/>
          </w:p>
        </w:tc>
        <w:tc>
          <w:tcPr>
            <w:tcW w:w="1064"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w:t>
            </w:r>
            <w:r/>
          </w:p>
        </w:tc>
        <w:tc>
          <w:tcPr>
            <w:tcW w:w="106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3</w:t>
            </w:r>
            <w:r/>
          </w:p>
        </w:tc>
        <w:tc>
          <w:tcPr>
            <w:tcW w:w="98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4</w:t>
            </w:r>
            <w:r/>
          </w:p>
        </w:tc>
        <w:tc>
          <w:tcPr>
            <w:tcW w:w="104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5</w:t>
            </w:r>
            <w:r/>
          </w:p>
        </w:tc>
        <w:tc>
          <w:tcPr>
            <w:tcW w:w="125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6</w:t>
            </w:r>
            <w:r/>
          </w:p>
        </w:tc>
        <w:tc>
          <w:tcPr>
            <w:tcW w:w="86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7</w:t>
            </w:r>
            <w:r/>
          </w:p>
        </w:tc>
        <w:tc>
          <w:tcPr>
            <w:tcW w:w="92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8</w:t>
            </w:r>
            <w:r/>
          </w:p>
        </w:tc>
        <w:tc>
          <w:tcPr>
            <w:tcW w:w="861"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9</w:t>
            </w:r>
            <w:r/>
          </w:p>
        </w:tc>
      </w:tr>
      <w:tr>
        <w:trPr>
          <w:cantSplit/>
          <w:trHeight w:val="294"/>
        </w:trPr>
        <w:tc>
          <w:tcPr>
            <w:tcW w:w="72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1</w:t>
            </w:r>
            <w:r/>
          </w:p>
        </w:tc>
        <w:tc>
          <w:tcPr>
            <w:tcW w:w="1106" w:type="dxa"/>
            <w:vAlign w:val="center"/>
            <w:textDirection w:val="lrTb"/>
            <w:noWrap w:val="false"/>
          </w:tcPr>
          <w:p>
            <w:pPr>
              <w:pStyle w:val="903"/>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分项服务名称/货物名称</w:t>
            </w:r>
            <w:r/>
          </w:p>
        </w:tc>
        <w:tc>
          <w:tcPr>
            <w:tcW w:w="1064"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品牌</w:t>
            </w:r>
            <w:r/>
          </w:p>
        </w:tc>
        <w:tc>
          <w:tcPr>
            <w:tcW w:w="106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规格</w:t>
            </w:r>
            <w:r/>
          </w:p>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型号</w:t>
            </w:r>
            <w:r/>
          </w:p>
        </w:tc>
        <w:tc>
          <w:tcPr>
            <w:tcW w:w="98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制造商名称</w:t>
            </w:r>
            <w:r/>
          </w:p>
        </w:tc>
        <w:tc>
          <w:tcPr>
            <w:tcW w:w="104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产地</w:t>
            </w:r>
            <w:r/>
          </w:p>
        </w:tc>
        <w:tc>
          <w:tcPr>
            <w:tcW w:w="125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交付期/服务期</w:t>
            </w:r>
            <w:r/>
          </w:p>
        </w:tc>
        <w:tc>
          <w:tcPr>
            <w:tcW w:w="86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数量</w:t>
            </w:r>
            <w:r/>
          </w:p>
        </w:tc>
        <w:tc>
          <w:tcPr>
            <w:tcW w:w="92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分项</w:t>
            </w:r>
            <w:r/>
          </w:p>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单价</w:t>
            </w:r>
            <w:r/>
          </w:p>
        </w:tc>
        <w:tc>
          <w:tcPr>
            <w:tcW w:w="861"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分项</w:t>
            </w:r>
            <w:r/>
          </w:p>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总价</w:t>
            </w:r>
            <w:r/>
          </w:p>
        </w:tc>
      </w:tr>
      <w:tr>
        <w:trPr>
          <w:cantSplit/>
          <w:trHeight w:val="696"/>
        </w:trPr>
        <w:tc>
          <w:tcPr>
            <w:tcW w:w="72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w:t>
            </w:r>
            <w:r/>
          </w:p>
        </w:tc>
        <w:tc>
          <w:tcPr>
            <w:tcW w:w="1106"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4"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highlight w:val="cyan"/>
              </w:rPr>
            </w:pPr>
            <w:r>
              <w:rPr>
                <w:rFonts w:hint="eastAsia" w:ascii="方正魏碑_GBK" w:hAnsi="方正魏碑_GBK" w:eastAsia="方正魏碑_GBK" w:cs="方正魏碑_GBK"/>
                <w:color w:val="000000"/>
                <w:sz w:val="28"/>
                <w:szCs w:val="28"/>
                <w:highlight w:val="cyan"/>
              </w:rPr>
            </w:r>
            <w:r/>
          </w:p>
        </w:tc>
        <w:tc>
          <w:tcPr>
            <w:tcW w:w="1040" w:type="dxa"/>
            <w:vAlign w:val="top"/>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u w:val="single"/>
              </w:rPr>
            </w:pPr>
            <w:r>
              <w:rPr>
                <w:rFonts w:hint="eastAsia" w:ascii="方正魏碑_GBK" w:hAnsi="方正魏碑_GBK" w:eastAsia="方正魏碑_GBK" w:cs="方正魏碑_GBK"/>
                <w:color w:val="000000"/>
                <w:sz w:val="28"/>
                <w:szCs w:val="28"/>
              </w:rPr>
              <w:t xml:space="preserve">合同签订后</w:t>
            </w:r>
            <w:r>
              <w:rPr>
                <w:rFonts w:hint="eastAsia" w:ascii="方正魏碑_GBK" w:hAnsi="方正魏碑_GBK" w:eastAsia="方正魏碑_GBK" w:cs="方正魏碑_GBK"/>
                <w:color w:val="000000"/>
                <w:sz w:val="28"/>
                <w:szCs w:val="28"/>
                <w:u w:val="single"/>
              </w:rPr>
              <w:t xml:space="preserve">  </w:t>
            </w:r>
            <w:r>
              <w:rPr>
                <w:rFonts w:hint="eastAsia" w:ascii="方正魏碑_GBK" w:hAnsi="方正魏碑_GBK" w:eastAsia="方正魏碑_GBK" w:cs="方正魏碑_GBK"/>
                <w:color w:val="000000"/>
                <w:sz w:val="28"/>
                <w:szCs w:val="28"/>
              </w:rPr>
              <w:t xml:space="preserve">日</w:t>
            </w:r>
            <w:r>
              <w:rPr>
                <w:rFonts w:hint="eastAsia" w:ascii="方正魏碑_GBK" w:hAnsi="方正魏碑_GBK" w:eastAsia="方正魏碑_GBK" w:cs="方正魏碑_GBK"/>
                <w:color w:val="000000"/>
                <w:sz w:val="28"/>
                <w:szCs w:val="28"/>
                <w:u w:val="single"/>
              </w:rPr>
            </w:r>
            <w:r/>
          </w:p>
        </w:tc>
        <w:tc>
          <w:tcPr>
            <w:tcW w:w="86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724"/>
        </w:trPr>
        <w:tc>
          <w:tcPr>
            <w:tcW w:w="72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3</w:t>
            </w:r>
            <w:r/>
          </w:p>
        </w:tc>
        <w:tc>
          <w:tcPr>
            <w:tcW w:w="1106"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4"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40" w:type="dxa"/>
            <w:vAlign w:val="top"/>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640"/>
        </w:trPr>
        <w:tc>
          <w:tcPr>
            <w:tcW w:w="72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4</w:t>
            </w:r>
            <w:r/>
          </w:p>
        </w:tc>
        <w:tc>
          <w:tcPr>
            <w:tcW w:w="1106"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4"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40" w:type="dxa"/>
            <w:vAlign w:val="top"/>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580"/>
        </w:trPr>
        <w:tc>
          <w:tcPr>
            <w:tcW w:w="72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w:t>
            </w:r>
            <w:r/>
          </w:p>
        </w:tc>
        <w:tc>
          <w:tcPr>
            <w:tcW w:w="1106"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w:t>
            </w:r>
            <w:r/>
          </w:p>
        </w:tc>
        <w:tc>
          <w:tcPr>
            <w:tcW w:w="1064"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40" w:type="dxa"/>
            <w:vAlign w:val="top"/>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pStyle w:val="903"/>
              <w:jc w:val="center"/>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434"/>
        </w:trPr>
        <w:tc>
          <w:tcPr>
            <w:gridSpan w:val="10"/>
            <w:tcW w:w="9861" w:type="dxa"/>
            <w:vAlign w:val="top"/>
            <w:textDirection w:val="lrTb"/>
            <w:noWrap w:val="false"/>
          </w:tcPr>
          <w:p>
            <w:pPr>
              <w:pStyle w:val="903"/>
              <w:spacing w:line="0" w:lineRule="atLeast"/>
              <w:rPr>
                <w:rFonts w:hint="eastAsia" w:ascii="方正魏碑_GBK" w:hAnsi="方正魏碑_GBK" w:eastAsia="方正魏碑_GBK" w:cs="方正魏碑_GBK"/>
                <w:color w:val="000000"/>
                <w:sz w:val="28"/>
                <w:szCs w:val="28"/>
                <w:u w:val="single"/>
              </w:rPr>
            </w:pPr>
            <w:r>
              <w:rPr>
                <w:rFonts w:hint="eastAsia" w:ascii="方正魏碑_GBK" w:hAnsi="方正魏碑_GBK" w:eastAsia="方正魏碑_GBK" w:cs="方正魏碑_GBK"/>
                <w:color w:val="000000"/>
                <w:sz w:val="28"/>
                <w:szCs w:val="28"/>
              </w:rPr>
              <w:t xml:space="preserve">投标总报价（人民币：元）</w:t>
            </w:r>
            <w:r>
              <w:rPr>
                <w:rFonts w:hint="eastAsia" w:ascii="方正魏碑_GBK" w:hAnsi="方正魏碑_GBK" w:eastAsia="方正魏碑_GBK" w:cs="方正魏碑_GBK"/>
                <w:color w:val="000000"/>
                <w:sz w:val="28"/>
                <w:szCs w:val="28"/>
                <w:u w:val="single"/>
              </w:rPr>
              <w:t xml:space="preserve">                             </w:t>
            </w:r>
            <w:r/>
          </w:p>
        </w:tc>
      </w:tr>
      <w:tr>
        <w:trPr>
          <w:cantSplit/>
          <w:trHeight w:val="757"/>
        </w:trPr>
        <w:tc>
          <w:tcPr>
            <w:gridSpan w:val="10"/>
            <w:tcW w:w="9861" w:type="dxa"/>
            <w:vAlign w:val="top"/>
            <w:textDirection w:val="lrTb"/>
            <w:noWrap w:val="false"/>
          </w:tcPr>
          <w:p>
            <w:pPr>
              <w:pStyle w:val="966"/>
              <w:spacing w:before="0" w:beforeAutospacing="0" w:after="0" w:afterAutospacing="0"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sz w:val="32"/>
                <w:szCs w:val="32"/>
                <w:u w:val="single"/>
              </w:rPr>
              <w:t xml:space="preserve">XX</w:t>
            </w:r>
            <w:r>
              <w:rPr>
                <w:rFonts w:hint="eastAsia" w:ascii="方正魏碑_GBK" w:hAnsi="方正魏碑_GBK" w:eastAsia="方正魏碑_GBK" w:cs="方正魏碑_GBK"/>
                <w:color w:val="000000"/>
                <w:sz w:val="28"/>
                <w:szCs w:val="28"/>
              </w:rPr>
              <w:t xml:space="preserve">%。</w:t>
            </w:r>
            <w:r/>
          </w:p>
        </w:tc>
      </w:tr>
    </w:tbl>
    <w:p>
      <w:pPr>
        <w:pStyle w:val="903"/>
        <w:ind w:firstLine="482"/>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备注：</w:t>
      </w:r>
      <w:r/>
    </w:p>
    <w:p>
      <w:pPr>
        <w:pStyle w:val="903"/>
        <w:ind w:firstLine="482"/>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903"/>
        <w:ind w:firstLine="482"/>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2.“投标分项报价表”中“投标总报价”数额应当与“开标一览表”中“投标总报价”数额一致。</w:t>
      </w:r>
      <w:r/>
    </w:p>
    <w:p>
      <w:pPr>
        <w:pStyle w:val="903"/>
        <w:ind w:firstLine="482"/>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3.分项服务不需填写品牌、规格型号、制造商、产地。</w:t>
      </w:r>
      <w:r/>
    </w:p>
    <w:p>
      <w:pPr>
        <w:pStyle w:val="903"/>
        <w:ind w:firstLine="482"/>
        <w:spacing w:line="56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903"/>
        <w:spacing w:line="0" w:lineRule="atLeast"/>
        <w:rPr>
          <w:rFonts w:ascii="宋体" w:hAnsi="宋体"/>
          <w:color w:val="000000"/>
          <w:sz w:val="24"/>
          <w:szCs w:val="24"/>
        </w:rPr>
      </w:pPr>
      <w:r>
        <w:rPr>
          <w:rFonts w:ascii="宋体" w:hAnsi="宋体"/>
          <w:color w:val="000000"/>
          <w:sz w:val="24"/>
          <w:szCs w:val="24"/>
        </w:rPr>
      </w:r>
      <w:r/>
    </w:p>
    <w:p>
      <w:pPr>
        <w:pStyle w:val="903"/>
        <w:rPr>
          <w:color w:val="000000"/>
        </w:rPr>
      </w:pPr>
      <w:r>
        <w:rPr>
          <w:color w:val="000000"/>
        </w:rPr>
      </w:r>
      <w:r/>
    </w:p>
    <w:p>
      <w:pPr>
        <w:pStyle w:val="903"/>
        <w:spacing w:line="0" w:lineRule="atLeast"/>
        <w:rPr>
          <w:rFonts w:hint="eastAsia" w:ascii="宋体" w:hAnsi="宋体"/>
          <w:color w:val="000000"/>
          <w:sz w:val="24"/>
          <w:szCs w:val="24"/>
        </w:rPr>
      </w:pPr>
      <w:r>
        <w:rPr>
          <w:rFonts w:hint="eastAsia" w:ascii="宋体" w:hAnsi="宋体"/>
          <w:color w:val="000000"/>
          <w:sz w:val="24"/>
          <w:szCs w:val="24"/>
        </w:rPr>
      </w:r>
      <w:r/>
    </w:p>
    <w:p>
      <w:pPr>
        <w:pStyle w:val="903"/>
        <w:ind w:firstLine="480"/>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p>
      <w:pPr>
        <w:pStyle w:val="903"/>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90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3"/>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903"/>
        <w:spacing w:line="400" w:lineRule="exact"/>
        <w:rPr>
          <w:rFonts w:ascii="宋体" w:hAnsi="宋体"/>
          <w:color w:val="000000"/>
          <w:sz w:val="24"/>
          <w:szCs w:val="24"/>
        </w:rPr>
      </w:pP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903"/>
        <w:spacing w:line="400" w:lineRule="exact"/>
        <w:rPr>
          <w:rFonts w:ascii="宋体" w:hAnsi="宋体"/>
          <w:color w:val="000000"/>
          <w:sz w:val="24"/>
          <w:szCs w:val="24"/>
        </w:rPr>
      </w:pPr>
      <w:r>
        <w:rPr>
          <w:rFonts w:hint="eastAsia" w:ascii="宋体" w:hAnsi="宋体" w:cs="宋体"/>
          <w:color w:val="000000"/>
          <w:sz w:val="24"/>
          <w:szCs w:val="24"/>
        </w:rPr>
        <w:t xml:space="preserve">1.投标人需对招标文件技术要求中非实质性要求（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903"/>
        <w:spacing w:line="400" w:lineRule="exact"/>
        <w:rPr>
          <w:rFonts w:hint="eastAsia" w:ascii="宋体" w:hAnsi="宋体"/>
          <w:color w:val="000000"/>
          <w:sz w:val="24"/>
          <w:szCs w:val="24"/>
        </w:rPr>
      </w:pPr>
      <w:r>
        <w:rPr>
          <w:rFonts w:hint="eastAsia"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color w:val="000000"/>
          <w:sz w:val="24"/>
          <w:szCs w:val="24"/>
        </w:rPr>
      </w:r>
      <w:r/>
    </w:p>
    <w:p>
      <w:pPr>
        <w:pStyle w:val="903"/>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p>
        </w:tc>
        <w:tc>
          <w:tcPr>
            <w:tcW w:w="3191"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90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3"/>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903"/>
        <w:spacing w:line="400" w:lineRule="exact"/>
        <w:rPr>
          <w:rFonts w:ascii="宋体" w:hAnsi="宋体"/>
          <w:color w:val="000000"/>
          <w:sz w:val="24"/>
          <w:szCs w:val="24"/>
        </w:rPr>
      </w:pP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903"/>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1.投标人需对招标文件商务要求中非实质性要求（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）逐条做出明确响应。</w:t>
      </w:r>
      <w:r/>
    </w:p>
    <w:p>
      <w:pPr>
        <w:pStyle w:val="903"/>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903"/>
        <w:rPr>
          <w:rFonts w:hint="eastAsia" w:ascii="宋体" w:hAnsi="宋体"/>
          <w:b/>
          <w:color w:val="000000"/>
          <w:sz w:val="24"/>
        </w:rPr>
      </w:pPr>
      <w:r>
        <w:rPr>
          <w:rFonts w:hint="eastAsia" w:ascii="宋体" w:hAnsi="宋体"/>
          <w:b/>
          <w:color w:val="000000"/>
          <w:sz w:val="24"/>
        </w:rPr>
      </w:r>
      <w:r/>
    </w:p>
    <w:p>
      <w:pPr>
        <w:pStyle w:val="903"/>
        <w:ind w:firstLine="480"/>
        <w:spacing w:line="440" w:lineRule="exact"/>
        <w:rPr>
          <w:rFonts w:ascii="宋体" w:hAnsi="宋体"/>
          <w:color w:val="000000"/>
          <w:sz w:val="24"/>
        </w:rPr>
      </w:pPr>
      <w:r>
        <w:rPr>
          <w:rFonts w:ascii="宋体" w:hAnsi="宋体"/>
          <w:color w:val="000000"/>
          <w:sz w:val="24"/>
        </w:rPr>
      </w:r>
      <w:r/>
    </w:p>
    <w:p>
      <w:pPr>
        <w:pStyle w:val="903"/>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903"/>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903"/>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903"/>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903"/>
        <w:spacing w:line="460" w:lineRule="exact"/>
        <w:rPr>
          <w:rFonts w:hint="eastAsia" w:ascii="宋体" w:hAnsi="宋体"/>
          <w:bCs/>
          <w:color w:val="000000"/>
          <w:sz w:val="24"/>
        </w:rPr>
      </w:pPr>
      <w:r>
        <w:rPr>
          <w:rFonts w:hint="eastAsia" w:ascii="宋体" w:hAnsi="宋体"/>
          <w:bCs/>
          <w:color w:val="000000"/>
          <w:sz w:val="24"/>
        </w:rPr>
        <w:t xml:space="preserve">                                     </w:t>
      </w:r>
      <w:r/>
    </w:p>
    <w:p>
      <w:pPr>
        <w:pStyle w:val="903"/>
        <w:ind w:left="480"/>
        <w:rPr>
          <w:rFonts w:ascii="宋体" w:hAnsi="宋体"/>
          <w:b/>
          <w:color w:val="000000"/>
          <w:sz w:val="24"/>
        </w:rPr>
      </w:pPr>
      <w:r>
        <w:rPr>
          <w:rFonts w:ascii="宋体" w:hAnsi="宋体"/>
          <w:b/>
          <w:color w:val="000000"/>
          <w:sz w:val="24"/>
        </w:rPr>
      </w:r>
      <w:r/>
    </w:p>
    <w:p>
      <w:pPr>
        <w:pStyle w:val="903"/>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903"/>
        <w:jc w:val="center"/>
        <w:spacing w:line="460" w:lineRule="exact"/>
        <w:rPr>
          <w:rFonts w:ascii="宋体" w:hAnsi="宋体"/>
          <w:b/>
          <w:bCs/>
          <w:color w:val="000000"/>
          <w:sz w:val="24"/>
        </w:rPr>
      </w:pPr>
      <w:r>
        <w:rPr>
          <w:rFonts w:ascii="宋体" w:hAnsi="宋体"/>
          <w:b/>
          <w:bCs/>
          <w:color w:val="000000"/>
          <w:sz w:val="24"/>
        </w:rPr>
      </w:r>
      <w:r/>
    </w:p>
    <w:p>
      <w:pPr>
        <w:pStyle w:val="903"/>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903"/>
        <w:ind w:left="480"/>
        <w:rPr>
          <w:rFonts w:ascii="宋体" w:hAnsi="宋体"/>
          <w:b/>
          <w:color w:val="000000"/>
          <w:sz w:val="24"/>
        </w:rPr>
      </w:pPr>
      <w:r>
        <w:rPr>
          <w:rFonts w:ascii="宋体" w:hAnsi="宋体"/>
          <w:b/>
          <w:color w:val="000000"/>
          <w:sz w:val="24"/>
        </w:rPr>
      </w:r>
      <w:r/>
    </w:p>
    <w:p>
      <w:pPr>
        <w:pStyle w:val="903"/>
        <w:ind w:firstLine="480"/>
        <w:spacing w:line="460" w:lineRule="exact"/>
        <w:rPr>
          <w:rFonts w:ascii="宋体" w:hAnsi="宋体"/>
          <w:b/>
          <w:color w:val="000000"/>
          <w:sz w:val="24"/>
        </w:rPr>
      </w:pPr>
      <w:r>
        <w:rPr>
          <w:rFonts w:ascii="宋体" w:hAnsi="宋体"/>
          <w:b/>
          <w:color w:val="000000"/>
          <w:sz w:val="24"/>
        </w:rPr>
      </w:r>
      <w:r/>
    </w:p>
    <w:p>
      <w:pPr>
        <w:pStyle w:val="903"/>
        <w:ind w:firstLine="480"/>
        <w:spacing w:line="460" w:lineRule="exact"/>
        <w:rPr>
          <w:rFonts w:ascii="宋体" w:hAnsi="宋体"/>
          <w:b/>
          <w:color w:val="000000"/>
          <w:sz w:val="24"/>
        </w:rPr>
      </w:pPr>
      <w:r>
        <w:rPr>
          <w:rFonts w:ascii="宋体" w:hAnsi="宋体"/>
          <w:b/>
          <w:color w:val="000000"/>
          <w:sz w:val="24"/>
        </w:rPr>
      </w:r>
      <w:r/>
    </w:p>
    <w:p>
      <w:pPr>
        <w:pStyle w:val="903"/>
        <w:ind w:firstLine="480"/>
        <w:spacing w:line="460" w:lineRule="exact"/>
        <w:rPr>
          <w:rFonts w:hint="eastAsia" w:ascii="宋体" w:hAnsi="宋体"/>
          <w:b/>
          <w:color w:val="000000"/>
          <w:sz w:val="24"/>
        </w:rPr>
      </w:pPr>
      <w:r>
        <w:rPr>
          <w:rFonts w:hint="eastAsia" w:ascii="宋体" w:hAnsi="宋体"/>
          <w:b/>
          <w:color w:val="000000"/>
          <w:sz w:val="24"/>
        </w:rPr>
      </w:r>
      <w:r/>
    </w:p>
    <w:p>
      <w:pPr>
        <w:pStyle w:val="903"/>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0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90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903"/>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903"/>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903"/>
        <w:ind w:firstLine="1200"/>
        <w:spacing w:line="400" w:lineRule="exact"/>
        <w:tabs>
          <w:tab w:val="left" w:pos="360" w:leader="none"/>
        </w:tabs>
        <w:rPr>
          <w:rFonts w:hint="eastAsia"/>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p>
    <w:p>
      <w:pPr>
        <w:pStyle w:val="903"/>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03"/>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903"/>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903"/>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903"/>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03"/>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9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rPr>
        <w:t xml:space="preserve">采购编号为</w:t>
      </w:r>
      <w:r>
        <w:rPr>
          <w:rFonts w:hint="eastAsia" w:ascii="Times New Roman" w:hAnsi="Times New Roman"/>
          <w:color w:val="000000"/>
        </w:rPr>
        <w:t xml:space="preserve">JSZC-320000-SCZX-G20**-****</w:t>
      </w:r>
      <w:r>
        <w:rPr>
          <w:rFonts w:hint="eastAsia" w:ascii="宋体" w:hAnsi="宋体"/>
          <w:color w:val="000000"/>
        </w:rPr>
        <w:t xml:space="preserve">，</w:t>
      </w:r>
      <w:r>
        <w:rPr>
          <w:rFonts w:hint="eastAsia" w:ascii="宋体" w:hAnsi="宋体"/>
          <w:color w:val="000000"/>
          <w:u w:val="single"/>
        </w:rPr>
        <w:t xml:space="preserve">      </w:t>
      </w:r>
      <w:r>
        <w:rPr>
          <w:rFonts w:hint="eastAsia" w:ascii="宋体" w:hAnsi="宋体"/>
          <w:color w:val="000000"/>
        </w:rPr>
        <w:t xml:space="preserve">项目（项目名称）的</w:t>
      </w:r>
      <w:r>
        <w:rPr>
          <w:rFonts w:hint="eastAsia" w:ascii="宋体" w:hAnsi="宋体"/>
          <w:color w:val="000000"/>
          <w:szCs w:val="21"/>
        </w:rPr>
        <w:t xml:space="preserve">招标文件</w:t>
      </w:r>
      <w:r>
        <w:rPr>
          <w:rFonts w:hint="eastAsia" w:ascii="宋体" w:hAnsi="宋体"/>
          <w:color w:val="000000"/>
          <w:szCs w:val="21"/>
        </w:rPr>
        <w:t xml:space="preserve">，正式授权下述签字人______(姓名)代表我方______________（投标人的名称），全权处理本次项目投标的有关事宜。</w:t>
      </w:r>
      <w:r/>
    </w:p>
    <w:p>
      <w:pPr>
        <w:pStyle w:val="990"/>
        <w:spacing w:before="0" w:after="0" w:line="42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p>
    <w:p>
      <w:pPr>
        <w:pStyle w:val="990"/>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990"/>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90"/>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990"/>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990"/>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990"/>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990"/>
        <w:spacing w:before="0" w:after="0" w:line="42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p>
    <w:p>
      <w:pPr>
        <w:pStyle w:val="990"/>
        <w:ind w:left="420"/>
        <w:spacing w:before="0" w:after="0" w:line="420" w:lineRule="exact"/>
        <w:rPr>
          <w:rFonts w:hint="eastAsia" w:ascii="宋体" w:hAnsi="宋体"/>
          <w:color w:val="000000"/>
          <w:szCs w:val="21"/>
        </w:rPr>
      </w:pPr>
      <w:r>
        <w:rPr>
          <w:rFonts w:hint="eastAsia" w:ascii="宋体" w:hAnsi="宋体"/>
          <w:color w:val="000000"/>
          <w:szCs w:val="21"/>
        </w:rPr>
        <w:t xml:space="preserve">地          址：</w:t>
      </w:r>
      <w:r/>
    </w:p>
    <w:p>
      <w:pPr>
        <w:pStyle w:val="990"/>
        <w:ind w:left="420"/>
        <w:spacing w:before="0" w:after="0" w:line="420" w:lineRule="exact"/>
        <w:rPr>
          <w:rFonts w:hint="eastAsia" w:ascii="宋体" w:hAnsi="宋体"/>
          <w:color w:val="000000"/>
          <w:szCs w:val="21"/>
        </w:rPr>
      </w:pPr>
      <w:r>
        <w:rPr>
          <w:rFonts w:hint="eastAsia" w:ascii="宋体" w:hAnsi="宋体"/>
          <w:color w:val="000000"/>
          <w:szCs w:val="21"/>
        </w:rPr>
        <w:t xml:space="preserve">邮          编：</w:t>
      </w:r>
      <w:r/>
    </w:p>
    <w:p>
      <w:pPr>
        <w:pStyle w:val="990"/>
        <w:ind w:left="420"/>
        <w:spacing w:before="0" w:after="0" w:line="420" w:lineRule="exact"/>
        <w:rPr>
          <w:rFonts w:hint="eastAsia" w:ascii="宋体" w:hAnsi="宋体"/>
          <w:color w:val="000000"/>
          <w:szCs w:val="21"/>
        </w:rPr>
      </w:pPr>
      <w:r>
        <w:rPr>
          <w:rFonts w:hint="eastAsia" w:ascii="宋体" w:hAnsi="宋体"/>
          <w:color w:val="000000"/>
          <w:szCs w:val="21"/>
        </w:rPr>
        <w:t xml:space="preserve">电          话：</w:t>
      </w:r>
      <w:r/>
    </w:p>
    <w:p>
      <w:pPr>
        <w:pStyle w:val="990"/>
        <w:ind w:left="420"/>
        <w:spacing w:before="0" w:after="0" w:line="420" w:lineRule="exact"/>
        <w:rPr>
          <w:rFonts w:hint="eastAsia" w:ascii="宋体" w:hAnsi="宋体"/>
          <w:color w:val="000000"/>
          <w:szCs w:val="21"/>
        </w:rPr>
      </w:pPr>
      <w:r>
        <w:rPr>
          <w:rFonts w:hint="eastAsia" w:ascii="宋体" w:hAnsi="宋体"/>
          <w:color w:val="000000"/>
          <w:szCs w:val="21"/>
        </w:rPr>
        <w:t xml:space="preserve">传          真：</w:t>
      </w:r>
      <w:r/>
    </w:p>
    <w:p>
      <w:pPr>
        <w:pStyle w:val="990"/>
        <w:ind w:left="420"/>
        <w:spacing w:before="0" w:after="0" w:line="420" w:lineRule="exact"/>
        <w:rPr>
          <w:rFonts w:hint="eastAsia" w:ascii="宋体" w:hAnsi="宋体"/>
          <w:color w:val="000000"/>
          <w:szCs w:val="21"/>
        </w:rPr>
      </w:pPr>
      <w:r>
        <w:rPr>
          <w:rFonts w:hint="eastAsia" w:ascii="宋体" w:hAnsi="宋体"/>
          <w:color w:val="000000"/>
          <w:szCs w:val="21"/>
        </w:rPr>
        <w:t xml:space="preserve">投标人开户行：</w:t>
      </w:r>
      <w:r/>
    </w:p>
    <w:p>
      <w:pPr>
        <w:pStyle w:val="990"/>
        <w:ind w:left="420"/>
        <w:spacing w:before="0" w:after="0" w:line="420" w:lineRule="exact"/>
        <w:rPr>
          <w:rFonts w:hint="eastAsia" w:ascii="宋体" w:hAnsi="宋体"/>
          <w:color w:val="000000"/>
          <w:szCs w:val="21"/>
        </w:rPr>
      </w:pPr>
      <w:r>
        <w:rPr>
          <w:rFonts w:hint="eastAsia" w:ascii="宋体" w:hAnsi="宋体"/>
          <w:color w:val="000000"/>
          <w:szCs w:val="21"/>
        </w:rPr>
        <w:t xml:space="preserve">账          号： </w:t>
      </w:r>
      <w:r/>
    </w:p>
    <w:p>
      <w:pPr>
        <w:pStyle w:val="903"/>
        <w:jc w:val="right"/>
        <w:spacing w:line="420" w:lineRule="exact"/>
        <w:rPr>
          <w:rFonts w:hint="eastAsia" w:ascii="方正魏碑_GBK" w:hAnsi="方正魏碑_GBK" w:eastAsia="方正魏碑_GBK" w:cs="方正魏碑_GBK"/>
          <w:color w:val="000000"/>
          <w:sz w:val="32"/>
          <w:szCs w:val="32"/>
        </w:rPr>
      </w:pPr>
      <w:r>
        <w:rPr>
          <w:rFonts w:hint="eastAsia" w:ascii="方正魏碑_GBK" w:hAnsi="方正魏碑_GBK" w:eastAsia="方正魏碑_GBK" w:cs="方正魏碑_GBK"/>
          <w:color w:val="000000"/>
          <w:sz w:val="32"/>
          <w:szCs w:val="32"/>
        </w:rPr>
      </w:r>
      <w:r/>
    </w:p>
    <w:p>
      <w:pPr>
        <w:pStyle w:val="990"/>
        <w:ind w:left="420" w:firstLine="643"/>
        <w:jc w:val="right"/>
        <w:spacing w:before="0" w:after="0" w:line="420" w:lineRule="exact"/>
        <w:rPr>
          <w:rFonts w:hint="eastAsia" w:ascii="宋体" w:hAnsi="宋体"/>
          <w:b/>
          <w:color w:val="000000"/>
          <w:sz w:val="32"/>
          <w:szCs w:val="32"/>
        </w:rPr>
      </w:pPr>
      <w:r>
        <w:rPr>
          <w:rFonts w:hint="eastAsia" w:ascii="宋体" w:hAnsi="宋体"/>
          <w:b/>
          <w:color w:val="000000"/>
          <w:sz w:val="32"/>
          <w:szCs w:val="32"/>
        </w:rPr>
        <w:t xml:space="preserve">供应商全称（加盖CA电子公章）：</w:t>
      </w:r>
      <w:r/>
    </w:p>
    <w:p>
      <w:pPr>
        <w:pStyle w:val="990"/>
        <w:ind w:left="420" w:firstLine="0"/>
        <w:jc w:val="right"/>
        <w:spacing w:before="0" w:after="0" w:line="420" w:lineRule="exact"/>
        <w:rPr>
          <w:rFonts w:hint="eastAsia" w:ascii="宋体" w:hAnsi="宋体"/>
          <w:color w:val="000000"/>
          <w:szCs w:val="21"/>
        </w:rPr>
      </w:pPr>
      <w:r>
        <w:rPr>
          <w:rFonts w:hint="eastAsia" w:ascii="宋体" w:hAnsi="宋体"/>
          <w:color w:val="000000"/>
          <w:szCs w:val="21"/>
        </w:rPr>
        <w:t xml:space="preserve">日           期：___年____月____日</w:t>
      </w:r>
      <w:r/>
    </w:p>
    <w:p>
      <w:pPr>
        <w:pStyle w:val="903"/>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03"/>
        <w:ind w:firstLine="480"/>
        <w:spacing w:line="440" w:lineRule="exact"/>
        <w:rPr>
          <w:rFonts w:ascii="宋体" w:hAnsi="宋体"/>
          <w:color w:val="000000"/>
          <w:sz w:val="24"/>
        </w:rPr>
      </w:pPr>
      <w:r>
        <w:rPr>
          <w:rFonts w:ascii="宋体" w:hAnsi="宋体"/>
          <w:color w:val="000000"/>
          <w:sz w:val="24"/>
        </w:rPr>
      </w:r>
      <w:r/>
    </w:p>
    <w:p>
      <w:pPr>
        <w:pStyle w:val="903"/>
        <w:ind w:firstLine="480"/>
        <w:spacing w:line="440" w:lineRule="exact"/>
        <w:rPr>
          <w:rFonts w:ascii="宋体" w:hAnsi="宋体"/>
          <w:color w:val="000000"/>
          <w:sz w:val="24"/>
        </w:rPr>
      </w:pPr>
      <w:r>
        <w:rPr>
          <w:rFonts w:ascii="宋体" w:hAnsi="宋体"/>
          <w:color w:val="000000"/>
          <w:sz w:val="24"/>
        </w:rPr>
      </w:r>
      <w:r/>
    </w:p>
    <w:p>
      <w:pPr>
        <w:pStyle w:val="903"/>
        <w:ind w:firstLine="480"/>
        <w:spacing w:line="440" w:lineRule="exact"/>
        <w:rPr>
          <w:rFonts w:ascii="宋体" w:hAnsi="宋体"/>
          <w:color w:val="000000"/>
          <w:sz w:val="24"/>
        </w:rPr>
      </w:pPr>
      <w:r>
        <w:rPr>
          <w:rFonts w:ascii="宋体" w:hAnsi="宋体"/>
          <w:color w:val="000000"/>
          <w:sz w:val="24"/>
        </w:rPr>
      </w:r>
      <w:r/>
    </w:p>
    <w:p>
      <w:pPr>
        <w:pStyle w:val="903"/>
        <w:ind w:firstLine="480"/>
        <w:spacing w:line="440" w:lineRule="exact"/>
        <w:rPr>
          <w:rFonts w:ascii="宋体" w:hAnsi="宋体"/>
          <w:color w:val="000000"/>
          <w:sz w:val="24"/>
        </w:rPr>
      </w:pPr>
      <w:r>
        <w:rPr>
          <w:rFonts w:ascii="宋体" w:hAnsi="宋体"/>
          <w:color w:val="000000"/>
          <w:sz w:val="24"/>
        </w:rPr>
      </w:r>
      <w:r/>
    </w:p>
    <w:p>
      <w:pPr>
        <w:pStyle w:val="903"/>
        <w:ind w:firstLine="480"/>
        <w:spacing w:line="440" w:lineRule="exact"/>
        <w:rPr>
          <w:rFonts w:ascii="宋体" w:hAnsi="宋体"/>
          <w:color w:val="000000"/>
          <w:sz w:val="24"/>
        </w:rPr>
      </w:pPr>
      <w:r>
        <w:rPr>
          <w:rFonts w:ascii="宋体" w:hAnsi="宋体"/>
          <w:color w:val="000000"/>
          <w:sz w:val="24"/>
        </w:rPr>
      </w:r>
      <w:r/>
    </w:p>
    <w:p>
      <w:pPr>
        <w:pStyle w:val="903"/>
        <w:spacing w:line="460" w:lineRule="exact"/>
        <w:rPr>
          <w:rFonts w:hint="eastAsia" w:ascii="黑体" w:hAnsi="黑体" w:eastAsia="黑体"/>
          <w:b/>
          <w:color w:val="000000"/>
          <w:sz w:val="32"/>
          <w:szCs w:val="32"/>
        </w:rPr>
      </w:pPr>
      <w:r/>
      <w:bookmarkEnd w:id="250"/>
      <w:r/>
      <w:bookmarkEnd w:id="251"/>
      <w:r/>
      <w:bookmarkEnd w:id="252"/>
      <w:r/>
      <w:bookmarkStart w:id="253" w:name="_Toc120614284"/>
      <w:r>
        <w:rPr>
          <w:rFonts w:hint="eastAsia" w:ascii="黑体" w:hAnsi="黑体" w:eastAsia="黑体"/>
          <w:b/>
          <w:color w:val="000000"/>
          <w:sz w:val="32"/>
          <w:szCs w:val="32"/>
        </w:rPr>
      </w:r>
      <w:r/>
    </w:p>
    <w:p>
      <w:pPr>
        <w:pStyle w:val="903"/>
        <w:jc w:val="center"/>
        <w:spacing w:line="460"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中小微企业声明函（服务类项目）（采购包号：**）</w:t>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color w:val="000000"/>
          <w:sz w:val="24"/>
          <w:szCs w:val="24"/>
        </w:rPr>
        <w:t xml:space="preserve">JSZC-320000-SCZX-G20**-****</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03"/>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903"/>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903"/>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903"/>
        <w:ind w:right="180" w:firstLine="360"/>
        <w:jc w:val="center"/>
        <w:spacing w:line="400" w:lineRule="exact"/>
        <w:rPr>
          <w:rFonts w:hint="eastAsia" w:ascii="宋体" w:hAnsi="宋体"/>
          <w:color w:val="000000"/>
          <w:sz w:val="24"/>
          <w:szCs w:val="24"/>
        </w:rPr>
      </w:pPr>
      <w:r>
        <w:rPr>
          <w:rFonts w:hint="eastAsia" w:ascii="宋体" w:hAnsi="宋体"/>
          <w:color w:val="000000"/>
          <w:sz w:val="24"/>
          <w:szCs w:val="24"/>
        </w:rPr>
        <w:t xml:space="preserve">                                   企业名称（加盖CA电子公章）：</w:t>
      </w:r>
      <w:r/>
    </w:p>
    <w:p>
      <w:pPr>
        <w:pStyle w:val="903"/>
        <w:ind w:right="180" w:firstLine="360"/>
        <w:jc w:val="center"/>
        <w:spacing w:line="400" w:lineRule="exact"/>
        <w:rPr>
          <w:rFonts w:hint="eastAsia" w:ascii="宋体" w:hAnsi="宋体"/>
          <w:color w:val="000000"/>
          <w:sz w:val="24"/>
          <w:szCs w:val="24"/>
        </w:rPr>
      </w:pPr>
      <w:r>
        <w:rPr>
          <w:rFonts w:hint="eastAsia" w:ascii="宋体" w:hAnsi="宋体" w:cs="宋体"/>
          <w:color w:val="000000"/>
          <w:sz w:val="24"/>
          <w:szCs w:val="24"/>
          <w:shd w:val="clear" w:color="auto" w:fill="ffffff"/>
        </w:rPr>
        <w:t xml:space="preserve">                               日期：___年____月____日 </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903"/>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rPr>
          <w:rFonts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残疾人福利性单位声明函（服务类项目）（采购包号：**）</w:t>
      </w:r>
      <w:r>
        <w:rPr>
          <w:rFonts w:hint="eastAsia" w:ascii="宋体" w:hAnsi="宋体"/>
          <w:color w:val="000000"/>
          <w:sz w:val="24"/>
          <w:szCs w:val="24"/>
        </w:rPr>
      </w:r>
      <w:r/>
    </w:p>
    <w:p>
      <w:pPr>
        <w:pStyle w:val="903"/>
        <w:ind w:firstLine="480"/>
        <w:spacing w:line="0" w:lineRule="atLeas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color w:val="000000"/>
          <w:sz w:val="24"/>
          <w:szCs w:val="24"/>
        </w:rPr>
        <w:t xml:space="preserve">采购编号为</w:t>
      </w:r>
      <w:r>
        <w:rPr>
          <w:rFonts w:hint="eastAsia"/>
          <w:color w:val="000000"/>
          <w:sz w:val="24"/>
          <w:szCs w:val="24"/>
        </w:rPr>
        <w:t xml:space="preserve">JSZC-320000-SCZX-G20**-****</w:t>
      </w: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项目（项目名称）（采购包号：**）</w:t>
      </w:r>
      <w:r>
        <w:rPr>
          <w:rFonts w:hint="eastAsia" w:ascii="宋体" w:hAnsi="宋体"/>
          <w:color w:val="000000"/>
          <w:sz w:val="24"/>
        </w:rPr>
        <w:t xml:space="preserve">采购活动由本单位提供服务。</w:t>
      </w:r>
      <w:r/>
    </w:p>
    <w:p>
      <w:pPr>
        <w:pStyle w:val="903"/>
        <w:ind w:firstLine="480"/>
        <w:spacing w:line="0" w:lineRule="atLeas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03"/>
        <w:ind w:firstLine="480"/>
        <w:spacing w:line="0" w:lineRule="atLeast"/>
        <w:rPr>
          <w:rFonts w:hint="eastAsia" w:ascii="宋体" w:hAnsi="宋体"/>
          <w:color w:val="000000"/>
          <w:sz w:val="24"/>
        </w:rPr>
      </w:pPr>
      <w:r>
        <w:rPr>
          <w:rFonts w:hint="eastAsia" w:ascii="宋体" w:hAnsi="宋体"/>
          <w:color w:val="000000"/>
          <w:sz w:val="24"/>
        </w:rPr>
      </w:r>
      <w:r/>
    </w:p>
    <w:p>
      <w:pPr>
        <w:pStyle w:val="903"/>
        <w:ind w:firstLine="480"/>
        <w:spacing w:line="0" w:lineRule="atLeast"/>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903"/>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rPr>
          <w:rFonts w:ascii="宋体" w:hAnsi="宋体"/>
          <w:color w:val="000000"/>
          <w:sz w:val="24"/>
        </w:rPr>
      </w:r>
      <w:r/>
    </w:p>
    <w:p>
      <w:pPr>
        <w:pStyle w:val="903"/>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rPr>
          <w:rFonts w:ascii="宋体" w:hAnsi="宋体"/>
          <w:color w:val="000000"/>
          <w:sz w:val="24"/>
        </w:rPr>
      </w:r>
      <w:r/>
    </w:p>
    <w:p>
      <w:pPr>
        <w:pStyle w:val="903"/>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rPr>
          <w:rFonts w:ascii="宋体" w:hAnsi="宋体"/>
          <w:color w:val="000000"/>
          <w:sz w:val="24"/>
        </w:rPr>
      </w:r>
      <w:r/>
    </w:p>
    <w:p>
      <w:pPr>
        <w:pStyle w:val="903"/>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03"/>
        <w:ind w:right="1559" w:firstLine="624"/>
        <w:jc w:val="center"/>
        <w:spacing w:line="0" w:lineRule="atLeas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903"/>
        <w:ind w:right="1559" w:firstLine="480"/>
        <w:jc w:val="center"/>
        <w:spacing w:line="0" w:lineRule="atLeast"/>
        <w:tabs>
          <w:tab w:val="left" w:pos="4860" w:leader="none"/>
        </w:tabs>
        <w:rPr>
          <w:rFonts w:ascii="宋体" w:hAnsi="宋体"/>
          <w:color w:val="000000"/>
          <w:sz w:val="24"/>
        </w:rPr>
      </w:pPr>
      <w:r>
        <w:rPr>
          <w:rFonts w:hint="eastAsia" w:ascii="宋体" w:hAnsi="宋体"/>
          <w:color w:val="000000"/>
          <w:sz w:val="24"/>
        </w:rPr>
        <w:t xml:space="preserve">                           </w:t>
      </w:r>
      <w:r>
        <w:rPr>
          <w:rFonts w:hint="eastAsia" w:ascii="宋体" w:hAnsi="宋体" w:cs="宋体"/>
          <w:color w:val="000000"/>
          <w:sz w:val="24"/>
          <w:szCs w:val="24"/>
          <w:shd w:val="clear" w:color="auto" w:fill="ffffff"/>
        </w:rPr>
        <w:t xml:space="preserve">日期：___年____月____日   </w:t>
      </w:r>
      <w:r>
        <w:rPr>
          <w:rFonts w:ascii="宋体" w:hAnsi="宋体"/>
          <w:color w:val="000000"/>
          <w:sz w:val="24"/>
        </w:rPr>
      </w:r>
      <w:r/>
    </w:p>
    <w:p>
      <w:pPr>
        <w:pStyle w:val="90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center"/>
        <w:spacing w:line="560" w:lineRule="exact"/>
        <w:rPr>
          <w:rFonts w:ascii="宋体" w:hAnsi="宋体"/>
          <w:b/>
          <w:color w:val="000000"/>
          <w:sz w:val="24"/>
          <w:szCs w:val="24"/>
        </w:rPr>
      </w:pPr>
      <w:r>
        <w:rPr>
          <w:rFonts w:hint="eastAsia" w:ascii="宋体" w:hAnsi="宋体"/>
          <w:b/>
          <w:color w:val="000000"/>
          <w:sz w:val="24"/>
          <w:szCs w:val="24"/>
        </w:rPr>
        <w:t xml:space="preserve">附件1</w:t>
      </w:r>
      <w:r>
        <w:rPr>
          <w:rFonts w:ascii="宋体" w:hAnsi="宋体"/>
          <w:b/>
          <w:color w:val="000000"/>
          <w:sz w:val="24"/>
          <w:szCs w:val="24"/>
        </w:rPr>
        <w:t xml:space="preserve">1</w:t>
      </w:r>
      <w:r>
        <w:rPr>
          <w:rFonts w:hint="eastAsia" w:ascii="宋体" w:hAnsi="宋体"/>
          <w:b/>
          <w:color w:val="000000"/>
          <w:sz w:val="24"/>
          <w:szCs w:val="24"/>
        </w:rPr>
        <w:t xml:space="preserve"> 联合体协议（参考格式）（采购包号：**）</w:t>
      </w:r>
      <w:r>
        <w:rPr>
          <w:rFonts w:ascii="宋体" w:hAnsi="宋体"/>
          <w:b/>
          <w:color w:val="000000"/>
          <w:sz w:val="24"/>
          <w:szCs w:val="24"/>
        </w:rPr>
      </w:r>
      <w:r/>
    </w:p>
    <w:p>
      <w:pPr>
        <w:pStyle w:val="903"/>
        <w:spacing w:line="0" w:lineRule="atLeas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03"/>
        <w:ind w:firstLine="645"/>
        <w:spacing w:line="0" w:lineRule="atLeas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自愿组成联合体，参加江苏省政府采购中心组织的</w:t>
      </w:r>
      <w:r>
        <w:rPr>
          <w:rFonts w:hint="eastAsia" w:ascii="宋体" w:hAnsi="宋体"/>
          <w:color w:val="000000"/>
          <w:sz w:val="24"/>
          <w:szCs w:val="24"/>
        </w:rPr>
        <w:t xml:space="preserve">采购编号为</w:t>
      </w:r>
      <w:r>
        <w:rPr>
          <w:rFonts w:hint="eastAsia"/>
          <w:color w:val="000000"/>
          <w:sz w:val="24"/>
          <w:szCs w:val="24"/>
        </w:rPr>
        <w:t xml:space="preserve">JSZC-320000-SCZX-G20**-****</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项目（项目名称）（采购包号：**）</w:t>
      </w:r>
      <w:r>
        <w:rPr>
          <w:rFonts w:hint="eastAsia" w:ascii="宋体" w:hAnsi="宋体"/>
          <w:color w:val="000000"/>
          <w:sz w:val="24"/>
        </w:rPr>
        <w:t xml:space="preserve">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03"/>
        <w:ind w:firstLine="645"/>
        <w:spacing w:line="0" w:lineRule="atLeas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03"/>
        <w:ind w:firstLine="645"/>
        <w:spacing w:line="0" w:lineRule="atLeas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903"/>
        <w:ind w:firstLine="645"/>
        <w:spacing w:line="0" w:lineRule="atLeas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pStyle w:val="903"/>
        <w:ind w:firstLine="645"/>
        <w:jc w:val="right"/>
        <w:spacing w:line="0" w:lineRule="atLeas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pStyle w:val="903"/>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s="宋体"/>
          <w:color w:val="000000"/>
          <w:sz w:val="24"/>
          <w:szCs w:val="24"/>
          <w:shd w:val="clear" w:color="auto" w:fill="ffffff"/>
        </w:rPr>
        <w:t xml:space="preserve">日期：___年____月____日     </w:t>
      </w:r>
      <w:r>
        <w:rPr>
          <w:rFonts w:ascii="宋体" w:hAnsi="宋体"/>
          <w:color w:val="000000"/>
          <w:sz w:val="24"/>
        </w:rPr>
      </w:r>
      <w:r/>
    </w:p>
    <w:p>
      <w:pPr>
        <w:pStyle w:val="903"/>
        <w:ind w:firstLine="645"/>
        <w:spacing w:line="0" w:lineRule="atLeast"/>
        <w:rPr>
          <w:rFonts w:hint="eastAsia" w:ascii="宋体" w:hAnsi="宋体"/>
          <w:color w:val="000000"/>
          <w:sz w:val="24"/>
        </w:rPr>
      </w:pPr>
      <w:r>
        <w:rPr>
          <w:rFonts w:hint="eastAsia" w:ascii="宋体" w:hAnsi="宋体"/>
          <w:color w:val="000000"/>
          <w:sz w:val="24"/>
        </w:rPr>
      </w:r>
      <w:r/>
    </w:p>
    <w:p>
      <w:pPr>
        <w:pStyle w:val="903"/>
        <w:ind w:firstLine="645"/>
        <w:spacing w:line="0" w:lineRule="atLeas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rPr>
          <w:rFonts w:ascii="宋体" w:hAnsi="宋体"/>
          <w:color w:val="000000"/>
          <w:sz w:val="24"/>
        </w:rPr>
      </w:r>
      <w:r/>
    </w:p>
    <w:p>
      <w:pPr>
        <w:pStyle w:val="903"/>
        <w:ind w:firstLine="645"/>
        <w:spacing w:line="560" w:lineRule="exact"/>
        <w:rPr>
          <w:rFonts w:hint="eastAsia" w:ascii="宋体" w:hAnsi="宋体"/>
          <w:color w:val="000000"/>
          <w:sz w:val="24"/>
        </w:rPr>
      </w:pPr>
      <w:r>
        <w:rPr>
          <w:rFonts w:hint="eastAsia" w:ascii="宋体" w:hAnsi="宋体"/>
          <w:color w:val="000000"/>
          <w:sz w:val="24"/>
        </w:rPr>
      </w:r>
      <w:r/>
    </w:p>
    <w:p>
      <w:pPr>
        <w:pStyle w:val="903"/>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3"/>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pStyle w:val="903"/>
        <w:spacing w:line="400" w:lineRule="exact"/>
        <w:rPr>
          <w:rFonts w:ascii="宋体" w:hAnsi="宋体"/>
          <w:color w:val="000000"/>
          <w:sz w:val="24"/>
          <w:szCs w:val="24"/>
        </w:rPr>
      </w:pP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903"/>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pStyle w:val="903"/>
        <w:spacing w:line="400" w:lineRule="exact"/>
        <w:rPr>
          <w:rFonts w:hint="eastAsia" w:ascii="宋体" w:hAnsi="宋体"/>
          <w:color w:val="000000"/>
          <w:sz w:val="24"/>
          <w:szCs w:val="24"/>
        </w:rPr>
      </w:pPr>
      <w:r>
        <w:rPr>
          <w:rFonts w:hint="eastAsia" w:ascii="宋体" w:hAnsi="宋体"/>
          <w:color w:val="000000"/>
          <w:sz w:val="24"/>
          <w:szCs w:val="24"/>
        </w:rPr>
      </w:r>
      <w:r/>
    </w:p>
    <w:p>
      <w:pPr>
        <w:pStyle w:val="903"/>
        <w:spacing w:line="460" w:lineRule="exact"/>
        <w:rPr>
          <w:rFonts w:hint="eastAsia" w:ascii="宋体" w:hAnsi="宋体"/>
          <w:bCs/>
          <w:color w:val="000000"/>
          <w:sz w:val="24"/>
        </w:rPr>
      </w:pPr>
      <w:r>
        <w:rPr>
          <w:rFonts w:hint="eastAsia" w:ascii="宋体" w:hAnsi="宋体"/>
          <w:bCs/>
          <w:color w:val="000000"/>
          <w:sz w:val="24"/>
        </w:rPr>
      </w:r>
      <w:r/>
    </w:p>
    <w:p>
      <w:pPr>
        <w:pStyle w:val="903"/>
        <w:spacing w:line="460" w:lineRule="exact"/>
        <w:rPr>
          <w:rFonts w:hint="eastAsia" w:ascii="宋体" w:hAnsi="宋体"/>
          <w:bCs/>
          <w:color w:val="000000"/>
          <w:sz w:val="24"/>
        </w:rPr>
      </w:pPr>
      <w:r>
        <w:rPr>
          <w:rFonts w:hint="eastAsia" w:ascii="宋体" w:hAnsi="宋体"/>
          <w:bCs/>
          <w:color w:val="000000"/>
          <w:sz w:val="24"/>
        </w:rPr>
      </w:r>
      <w:r/>
    </w:p>
    <w:p>
      <w:pPr>
        <w:pStyle w:val="903"/>
        <w:jc w:val="center"/>
        <w:rPr>
          <w:rFonts w:hint="eastAsia" w:ascii="宋体" w:hAnsi="宋体"/>
          <w:b/>
          <w:color w:val="000000"/>
          <w:sz w:val="24"/>
          <w:szCs w:val="24"/>
        </w:rPr>
      </w:pPr>
      <w:r>
        <w:rPr>
          <w:rFonts w:hint="eastAsia" w:ascii="宋体" w:hAnsi="宋体"/>
          <w:b/>
          <w:color w:val="000000"/>
          <w:sz w:val="24"/>
          <w:szCs w:val="24"/>
        </w:rPr>
      </w:r>
      <w:r/>
    </w:p>
    <w:p>
      <w:pPr>
        <w:pStyle w:val="903"/>
        <w:jc w:val="center"/>
        <w:rPr>
          <w:rFonts w:hint="eastAsia" w:ascii="宋体" w:hAnsi="宋体"/>
          <w:b/>
          <w:color w:val="000000"/>
          <w:sz w:val="24"/>
          <w:szCs w:val="24"/>
        </w:rPr>
      </w:pPr>
      <w:r>
        <w:rPr>
          <w:rFonts w:hint="eastAsia" w:ascii="宋体" w:hAnsi="宋体"/>
          <w:b/>
          <w:color w:val="000000"/>
          <w:sz w:val="24"/>
          <w:szCs w:val="24"/>
        </w:rPr>
        <w:t xml:space="preserve">附件13  关于符合本国产品标准的声明函（采购包号：XX）</w:t>
      </w:r>
      <w:r/>
    </w:p>
    <w:p>
      <w:pPr>
        <w:pStyle w:val="966"/>
        <w:ind w:firstLine="480"/>
        <w:spacing w:before="0" w:beforeAutospacing="0" w:after="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6"/>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Style w:val="1016"/>
          <w:rFonts w:hint="eastAsia" w:ascii="方正魏碑_GBK" w:hAnsi="方正魏碑_GBK" w:eastAsia="方正魏碑_GBK" w:cs="方正魏碑_GBK"/>
          <w:color w:val="000000"/>
          <w:shd w:val="clear" w:color="auto" w:fill="ffffff"/>
        </w:rPr>
        <w:t xml:space="preserve">（产品名称1）</w:t>
      </w:r>
      <w:r>
        <w:rPr>
          <w:rStyle w:val="1016"/>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016"/>
          <w:rFonts w:hint="eastAsia" w:ascii="方正魏碑_GBK" w:hAnsi="方正魏碑_GBK" w:eastAsia="方正魏碑_GBK" w:cs="方正魏碑_GBK"/>
          <w:color w:val="000000"/>
          <w:shd w:val="clear" w:color="auto" w:fill="ffffff"/>
        </w:rPr>
        <w:t xml:space="preserve">（厂名）</w:t>
      </w:r>
      <w:r>
        <w:rPr>
          <w:rStyle w:val="1016"/>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016"/>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16"/>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1016"/>
          <w:rFonts w:hint="eastAsia" w:ascii="方正魏碑_GBK" w:hAnsi="方正魏碑_GBK" w:eastAsia="方正魏碑_GBK" w:cs="方正魏碑_GBK"/>
          <w:color w:val="000000"/>
          <w:shd w:val="clear" w:color="auto" w:fill="ffffff"/>
        </w:rPr>
        <w:t xml:space="preserve">/  </w:t>
      </w:r>
      <w:r>
        <w:rPr>
          <w:rStyle w:val="1016"/>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16"/>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16"/>
          <w:rFonts w:hint="eastAsia" w:ascii="方正魏碑_GBK" w:hAnsi="方正魏碑_GBK" w:eastAsia="方正魏碑_GBK" w:cs="方正魏碑_GBK"/>
          <w:color w:val="000000"/>
          <w:shd w:val="clear" w:color="auto" w:fill="ffffff"/>
        </w:rPr>
        <w:t xml:space="preserve">/  </w:t>
      </w:r>
      <w:r>
        <w:rPr>
          <w:rStyle w:val="1016"/>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1016"/>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16"/>
          <w:rFonts w:hint="eastAsia" w:ascii="方正魏碑_GBK" w:hAnsi="方正魏碑_GBK" w:eastAsia="方正魏碑_GBK" w:cs="方正魏碑_GBK"/>
          <w:color w:val="000000"/>
          <w:shd w:val="clear" w:color="auto" w:fill="ffffff"/>
        </w:rPr>
        <w:t xml:space="preserve">/  </w:t>
      </w:r>
      <w:r>
        <w:rPr>
          <w:rStyle w:val="1016"/>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66"/>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Style w:val="1016"/>
          <w:rFonts w:hint="eastAsia" w:ascii="方正魏碑_GBK" w:hAnsi="方正魏碑_GBK" w:eastAsia="方正魏碑_GBK" w:cs="方正魏碑_GBK"/>
          <w:color w:val="000000"/>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1016"/>
          <w:rFonts w:hint="eastAsia" w:ascii="方正魏碑_GBK" w:hAnsi="方正魏碑_GBK" w:eastAsia="方正魏碑_GBK" w:cs="方正魏碑_GBK"/>
          <w:color w:val="000000"/>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016"/>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16"/>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1016"/>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16"/>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16"/>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1016"/>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16"/>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66"/>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966"/>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966"/>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66"/>
        <w:ind w:firstLine="480"/>
        <w:jc w:val="right"/>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公司（单位）名称（加盖CA电子公章）：　        </w:t>
      </w:r>
      <w:r>
        <w:rPr>
          <w:rFonts w:hint="eastAsia" w:ascii="方正魏碑_GBK" w:hAnsi="方正魏碑_GBK" w:eastAsia="方正魏碑_GBK" w:cs="方正魏碑_GBK"/>
          <w:color w:val="000000"/>
        </w:rPr>
      </w:r>
      <w:r/>
    </w:p>
    <w:p>
      <w:pPr>
        <w:pStyle w:val="966"/>
        <w:ind w:firstLine="480"/>
        <w:jc w:val="center"/>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日期：</w:t>
      </w:r>
      <w:r>
        <w:rPr>
          <w:rFonts w:hint="eastAsia" w:ascii="方正魏碑_GBK" w:hAnsi="方正魏碑_GBK" w:eastAsia="方正魏碑_GBK" w:cs="方正魏碑_GBK"/>
          <w:color w:val="000000"/>
        </w:rPr>
        <w:t xml:space="preserve">___年____月____日</w:t>
      </w:r>
      <w:r>
        <w:rPr>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rPr>
      </w:r>
      <w:r/>
    </w:p>
    <w:p>
      <w:pPr>
        <w:pStyle w:val="966"/>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1.产品如有型号，请在“产品名称”栏一并填写。</w:t>
      </w:r>
      <w:r>
        <w:rPr>
          <w:rFonts w:hint="eastAsia" w:ascii="方正魏碑_GBK" w:hAnsi="方正魏碑_GBK" w:eastAsia="方正魏碑_GBK" w:cs="方正魏碑_GBK"/>
          <w:color w:val="000000"/>
        </w:rPr>
      </w:r>
      <w:r/>
    </w:p>
    <w:p>
      <w:pPr>
        <w:pStyle w:val="966"/>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rPr>
      </w:r>
      <w:r/>
    </w:p>
    <w:p>
      <w:pPr>
        <w:pStyle w:val="966"/>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rPr>
      </w:r>
      <w:r/>
    </w:p>
    <w:p>
      <w:pPr>
        <w:pStyle w:val="966"/>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rPr>
      </w:r>
      <w:r/>
    </w:p>
    <w:p>
      <w:pPr>
        <w:pStyle w:val="966"/>
        <w:ind w:firstLine="480"/>
        <w:spacing w:before="30" w:beforeAutospacing="0" w:after="30" w:afterAutospacing="0" w:line="56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5.该产品的关键工序要求实施前，“关键工序”栏可不填，下同。</w:t>
      </w:r>
      <w:r/>
    </w:p>
    <w:p>
      <w:pPr>
        <w:pStyle w:val="966"/>
        <w:ind w:firstLine="480"/>
        <w:spacing w:before="30" w:beforeAutospacing="0" w:after="30" w:afterAutospacing="0" w:line="56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6.《声明函》中标注“</w:t>
      </w:r>
      <w:r>
        <w:rPr>
          <w:rFonts w:hint="eastAsia" w:ascii="方正魏碑_GBK" w:hAnsi="方正魏碑_GBK" w:eastAsia="方正魏碑_GBK" w:cs="方正魏碑_GBK"/>
          <w:color w:val="000000"/>
          <w:u w:val="single"/>
          <w:shd w:val="clear" w:color="auto" w:fill="ffffff"/>
        </w:rPr>
        <w:t xml:space="preserve">  </w:t>
      </w:r>
      <w:r>
        <w:rPr>
          <w:rStyle w:val="1016"/>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”的地方无需填写。</w:t>
      </w:r>
      <w:r/>
    </w:p>
    <w:p>
      <w:pPr>
        <w:pStyle w:val="903"/>
        <w:spacing w:line="460" w:lineRule="exact"/>
        <w:rPr>
          <w:rFonts w:hint="eastAsia" w:ascii="方正魏碑_GBK" w:hAnsi="方正魏碑_GBK" w:eastAsia="方正魏碑_GBK" w:cs="方正魏碑_GBK"/>
          <w:bCs/>
          <w:color w:val="000000"/>
          <w:sz w:val="24"/>
        </w:rPr>
      </w:pPr>
      <w:r>
        <w:rPr>
          <w:rFonts w:hint="eastAsia" w:ascii="方正魏碑_GBK" w:hAnsi="方正魏碑_GBK" w:eastAsia="方正魏碑_GBK" w:cs="方正魏碑_GBK"/>
          <w:bCs/>
          <w:color w:val="000000"/>
          <w:sz w:val="24"/>
        </w:rPr>
      </w:r>
      <w:r/>
    </w:p>
    <w:p>
      <w:pPr>
        <w:pStyle w:val="90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rPr>
          <w:rFonts w:hint="eastAsia" w:ascii="宋体" w:hAnsi="宋体" w:cs="仿宋"/>
          <w:b/>
          <w:bCs/>
          <w:color w:val="000000"/>
          <w:sz w:val="32"/>
          <w:szCs w:val="32"/>
        </w:rPr>
      </w:pPr>
      <w:r/>
      <w:bookmarkEnd w:id="189"/>
      <w:r/>
      <w:bookmarkEnd w:id="190"/>
      <w:r/>
      <w:bookmarkEnd w:id="253"/>
      <w:r>
        <w:rPr>
          <w:rFonts w:hint="eastAsia" w:ascii="宋体" w:hAnsi="宋体" w:cs="仿宋"/>
          <w:b/>
          <w:bCs/>
          <w:color w:val="000000"/>
          <w:sz w:val="32"/>
          <w:szCs w:val="32"/>
        </w:rPr>
      </w:r>
      <w:r/>
    </w:p>
    <w:p>
      <w:pPr>
        <w:pStyle w:val="903"/>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3"/>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18"/>
        <w:rPr>
          <w:rFonts w:hint="eastAsia"/>
          <w:color w:val="000000"/>
          <w:sz w:val="24"/>
          <w:szCs w:val="24"/>
        </w:rPr>
      </w:pPr>
      <w:r>
        <w:rPr>
          <w:rFonts w:hint="eastAsia"/>
          <w:color w:val="000000"/>
          <w:sz w:val="24"/>
          <w:szCs w:val="24"/>
        </w:rPr>
      </w:r>
      <w:r/>
    </w:p>
    <w:p>
      <w:pPr>
        <w:pStyle w:val="918"/>
        <w:rPr>
          <w:color w:val="000000"/>
          <w:sz w:val="24"/>
          <w:szCs w:val="24"/>
        </w:rPr>
      </w:pPr>
      <w:r>
        <w:rPr>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方正魏碑_GBK">
    <w:panose1 w:val="020B0503020202020204"/>
  </w:font>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6"/>
        <w:rFonts w:ascii="宋体" w:hAnsi="宋体"/>
      </w:rPr>
      <w:framePr w:wrap="around" w:vAnchor="text" w:hAnchor="margin" w:xAlign="center" w:y="1"/>
    </w:pPr>
    <w:r>
      <w:rPr>
        <w:rFonts w:ascii="宋体" w:hAnsi="宋体"/>
      </w:rPr>
      <w:fldChar w:fldCharType="begin"/>
    </w:r>
    <w:r>
      <w:rPr>
        <w:rStyle w:val="976"/>
        <w:rFonts w:ascii="宋体" w:hAnsi="宋体"/>
      </w:rPr>
      <w:instrText xml:space="preserve">PAGE  </w:instrText>
    </w:r>
    <w:r>
      <w:rPr>
        <w:rFonts w:ascii="宋体" w:hAnsi="宋体"/>
      </w:rPr>
      <w:fldChar w:fldCharType="separate"/>
    </w:r>
    <w:r>
      <w:rPr>
        <w:rStyle w:val="976"/>
        <w:rFonts w:ascii="宋体" w:hAnsi="宋体"/>
      </w:rPr>
      <w:t xml:space="preserve">16</w:t>
    </w:r>
    <w:r>
      <w:rPr>
        <w:rFonts w:ascii="宋体" w:hAnsi="宋体"/>
      </w:rPr>
      <w:fldChar w:fldCharType="end"/>
    </w:r>
    <w:r>
      <w:rPr>
        <w:rStyle w:val="976"/>
        <w:rFonts w:ascii="宋体" w:hAnsi="宋体"/>
      </w:rPr>
    </w:r>
    <w:r/>
  </w:p>
  <w:p>
    <w:pPr>
      <w:pStyle w:val="95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6"/>
      </w:rPr>
      <w:framePr w:wrap="around" w:vAnchor="text" w:hAnchor="margin" w:xAlign="center" w:y="1"/>
    </w:pPr>
    <w:r>
      <w:fldChar w:fldCharType="begin"/>
    </w:r>
    <w:r>
      <w:rPr>
        <w:rStyle w:val="976"/>
      </w:rPr>
      <w:instrText xml:space="preserve">PAGE  </w:instrText>
    </w:r>
    <w:r>
      <w:fldChar w:fldCharType="separate"/>
    </w:r>
    <w:r>
      <w:rPr>
        <w:rStyle w:val="976"/>
      </w:rPr>
      <w:t xml:space="preserve">1</w:t>
    </w:r>
    <w:r>
      <w:fldChar w:fldCharType="end"/>
    </w:r>
    <w:r>
      <w:rPr>
        <w:rStyle w:val="976"/>
      </w:rPr>
    </w:r>
    <w:r/>
  </w:p>
  <w:p>
    <w:pPr>
      <w:pStyle w:val="9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fldChar w:fldCharType="begin"/>
    </w:r>
    <w:r>
      <w:instrText xml:space="preserve">PAGE   \* MERGEFORMAT</w:instrText>
    </w:r>
    <w:r>
      <w:fldChar w:fldCharType="separate"/>
    </w:r>
    <w:r>
      <w:rPr>
        <w:lang w:val="zh-CN"/>
      </w:rPr>
      <w:t xml:space="preserve">1</w:t>
    </w:r>
    <w:r>
      <w:fldChar w:fldCharType="end"/>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3"/>
        <w:ind w:left="981" w:hanging="420"/>
      </w:pPr>
    </w:lvl>
    <w:lvl w:ilvl="1">
      <w:start w:val="1"/>
      <w:numFmt w:val="lowerLetter"/>
      <w:isLgl w:val="false"/>
      <w:suff w:val="tab"/>
      <w:lvlText w:val="%2)"/>
      <w:lvlJc w:val="left"/>
      <w:pPr>
        <w:pStyle w:val="903"/>
        <w:ind w:left="1401" w:hanging="420"/>
      </w:pPr>
    </w:lvl>
    <w:lvl w:ilvl="2">
      <w:start w:val="1"/>
      <w:numFmt w:val="lowerRoman"/>
      <w:isLgl w:val="false"/>
      <w:suff w:val="tab"/>
      <w:lvlText w:val="%3."/>
      <w:lvlJc w:val="right"/>
      <w:pPr>
        <w:pStyle w:val="903"/>
        <w:ind w:left="1821" w:hanging="420"/>
      </w:pPr>
    </w:lvl>
    <w:lvl w:ilvl="3">
      <w:start w:val="1"/>
      <w:numFmt w:val="decimal"/>
      <w:isLgl w:val="false"/>
      <w:suff w:val="tab"/>
      <w:lvlText w:val="%4."/>
      <w:lvlJc w:val="left"/>
      <w:pPr>
        <w:pStyle w:val="903"/>
        <w:ind w:left="2241" w:hanging="420"/>
      </w:pPr>
    </w:lvl>
    <w:lvl w:ilvl="4">
      <w:start w:val="1"/>
      <w:numFmt w:val="lowerLetter"/>
      <w:isLgl w:val="false"/>
      <w:suff w:val="tab"/>
      <w:lvlText w:val="%5)"/>
      <w:lvlJc w:val="left"/>
      <w:pPr>
        <w:pStyle w:val="903"/>
        <w:ind w:left="2661" w:hanging="420"/>
      </w:pPr>
    </w:lvl>
    <w:lvl w:ilvl="5">
      <w:start w:val="1"/>
      <w:numFmt w:val="lowerRoman"/>
      <w:isLgl w:val="false"/>
      <w:suff w:val="tab"/>
      <w:lvlText w:val="%6."/>
      <w:lvlJc w:val="right"/>
      <w:pPr>
        <w:pStyle w:val="903"/>
        <w:ind w:left="3081" w:hanging="420"/>
      </w:pPr>
    </w:lvl>
    <w:lvl w:ilvl="6">
      <w:start w:val="1"/>
      <w:numFmt w:val="decimal"/>
      <w:isLgl w:val="false"/>
      <w:suff w:val="tab"/>
      <w:lvlText w:val="%7."/>
      <w:lvlJc w:val="left"/>
      <w:pPr>
        <w:pStyle w:val="903"/>
        <w:ind w:left="3501" w:hanging="420"/>
      </w:pPr>
    </w:lvl>
    <w:lvl w:ilvl="7">
      <w:start w:val="1"/>
      <w:numFmt w:val="lowerLetter"/>
      <w:isLgl w:val="false"/>
      <w:suff w:val="tab"/>
      <w:lvlText w:val="%8)"/>
      <w:lvlJc w:val="left"/>
      <w:pPr>
        <w:pStyle w:val="903"/>
        <w:ind w:left="3921" w:hanging="420"/>
      </w:pPr>
    </w:lvl>
    <w:lvl w:ilvl="8">
      <w:start w:val="1"/>
      <w:numFmt w:val="lowerRoman"/>
      <w:isLgl w:val="false"/>
      <w:suff w:val="tab"/>
      <w:lvlText w:val="%9."/>
      <w:lvlJc w:val="right"/>
      <w:pPr>
        <w:pStyle w:val="903"/>
        <w:ind w:left="4341" w:hanging="420"/>
      </w:pPr>
    </w:lvl>
  </w:abstractNum>
  <w:abstractNum w:abstractNumId="1">
    <w:multiLevelType w:val="hybridMultilevel"/>
    <w:lvl w:ilvl="0">
      <w:start w:val="4"/>
      <w:numFmt w:val="decimal"/>
      <w:isLgl w:val="false"/>
      <w:suff w:val="tab"/>
      <w:lvlText w:val="%1."/>
      <w:lvlJc w:val="left"/>
      <w:pPr>
        <w:pStyle w:val="9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2"/>
      <w:isLgl w:val="false"/>
      <w:suff w:val="tab"/>
      <w:lvlText w:val="附录%1."/>
      <w:lvlJc w:val="left"/>
      <w:pPr>
        <w:pStyle w:val="9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03"/>
        <w:ind w:left="981" w:hanging="420"/>
      </w:pPr>
    </w:lvl>
    <w:lvl w:ilvl="1">
      <w:start w:val="1"/>
      <w:numFmt w:val="lowerLetter"/>
      <w:isLgl w:val="false"/>
      <w:suff w:val="tab"/>
      <w:lvlText w:val="%2)"/>
      <w:lvlJc w:val="left"/>
      <w:pPr>
        <w:pStyle w:val="903"/>
        <w:ind w:left="1401" w:hanging="420"/>
      </w:pPr>
    </w:lvl>
    <w:lvl w:ilvl="2">
      <w:start w:val="1"/>
      <w:numFmt w:val="lowerRoman"/>
      <w:isLgl w:val="false"/>
      <w:suff w:val="tab"/>
      <w:lvlText w:val="%3."/>
      <w:lvlJc w:val="right"/>
      <w:pPr>
        <w:pStyle w:val="903"/>
        <w:ind w:left="1821" w:hanging="420"/>
      </w:pPr>
    </w:lvl>
    <w:lvl w:ilvl="3">
      <w:start w:val="1"/>
      <w:numFmt w:val="decimal"/>
      <w:isLgl w:val="false"/>
      <w:suff w:val="tab"/>
      <w:lvlText w:val="%4."/>
      <w:lvlJc w:val="left"/>
      <w:pPr>
        <w:pStyle w:val="903"/>
        <w:ind w:left="2241" w:hanging="420"/>
      </w:pPr>
    </w:lvl>
    <w:lvl w:ilvl="4">
      <w:start w:val="1"/>
      <w:numFmt w:val="lowerLetter"/>
      <w:isLgl w:val="false"/>
      <w:suff w:val="tab"/>
      <w:lvlText w:val="%5)"/>
      <w:lvlJc w:val="left"/>
      <w:pPr>
        <w:pStyle w:val="903"/>
        <w:ind w:left="2661" w:hanging="420"/>
      </w:pPr>
    </w:lvl>
    <w:lvl w:ilvl="5">
      <w:start w:val="1"/>
      <w:numFmt w:val="lowerRoman"/>
      <w:isLgl w:val="false"/>
      <w:suff w:val="tab"/>
      <w:lvlText w:val="%6."/>
      <w:lvlJc w:val="right"/>
      <w:pPr>
        <w:pStyle w:val="903"/>
        <w:ind w:left="3081" w:hanging="420"/>
      </w:pPr>
    </w:lvl>
    <w:lvl w:ilvl="6">
      <w:start w:val="1"/>
      <w:numFmt w:val="decimal"/>
      <w:isLgl w:val="false"/>
      <w:suff w:val="tab"/>
      <w:lvlText w:val="%7."/>
      <w:lvlJc w:val="left"/>
      <w:pPr>
        <w:pStyle w:val="903"/>
        <w:ind w:left="3501" w:hanging="420"/>
      </w:pPr>
    </w:lvl>
    <w:lvl w:ilvl="7">
      <w:start w:val="1"/>
      <w:numFmt w:val="lowerLetter"/>
      <w:isLgl w:val="false"/>
      <w:suff w:val="tab"/>
      <w:lvlText w:val="%8)"/>
      <w:lvlJc w:val="left"/>
      <w:pPr>
        <w:pStyle w:val="903"/>
        <w:ind w:left="3921" w:hanging="420"/>
      </w:pPr>
    </w:lvl>
    <w:lvl w:ilvl="8">
      <w:start w:val="1"/>
      <w:numFmt w:val="lowerRoman"/>
      <w:isLgl w:val="false"/>
      <w:suff w:val="tab"/>
      <w:lvlText w:val="%9."/>
      <w:lvlJc w:val="right"/>
      <w:pPr>
        <w:pStyle w:val="903"/>
        <w:ind w:left="4341" w:hanging="420"/>
      </w:pPr>
    </w:lvl>
  </w:abstractNum>
  <w:abstractNum w:abstractNumId="6">
    <w:multiLevelType w:val="hybridMultilevel"/>
    <w:lvl w:ilvl="0">
      <w:start w:val="1"/>
      <w:numFmt w:val="decimal"/>
      <w:isLgl w:val="false"/>
      <w:suff w:val="tab"/>
      <w:lvlText w:val="（%1）"/>
      <w:lvlJc w:val="left"/>
      <w:pPr>
        <w:pStyle w:val="903"/>
        <w:ind w:left="981" w:hanging="420"/>
      </w:pPr>
    </w:lvl>
    <w:lvl w:ilvl="1">
      <w:start w:val="1"/>
      <w:numFmt w:val="lowerLetter"/>
      <w:isLgl w:val="false"/>
      <w:suff w:val="tab"/>
      <w:lvlText w:val="%2)"/>
      <w:lvlJc w:val="left"/>
      <w:pPr>
        <w:pStyle w:val="903"/>
        <w:ind w:left="1401" w:hanging="420"/>
      </w:pPr>
    </w:lvl>
    <w:lvl w:ilvl="2">
      <w:start w:val="1"/>
      <w:numFmt w:val="lowerRoman"/>
      <w:isLgl w:val="false"/>
      <w:suff w:val="tab"/>
      <w:lvlText w:val="%3."/>
      <w:lvlJc w:val="right"/>
      <w:pPr>
        <w:pStyle w:val="903"/>
        <w:ind w:left="1821" w:hanging="420"/>
      </w:pPr>
    </w:lvl>
    <w:lvl w:ilvl="3">
      <w:start w:val="1"/>
      <w:numFmt w:val="decimal"/>
      <w:isLgl w:val="false"/>
      <w:suff w:val="tab"/>
      <w:lvlText w:val="%4."/>
      <w:lvlJc w:val="left"/>
      <w:pPr>
        <w:pStyle w:val="903"/>
        <w:ind w:left="2241" w:hanging="420"/>
      </w:pPr>
    </w:lvl>
    <w:lvl w:ilvl="4">
      <w:start w:val="1"/>
      <w:numFmt w:val="lowerLetter"/>
      <w:isLgl w:val="false"/>
      <w:suff w:val="tab"/>
      <w:lvlText w:val="%5)"/>
      <w:lvlJc w:val="left"/>
      <w:pPr>
        <w:pStyle w:val="903"/>
        <w:ind w:left="2661" w:hanging="420"/>
      </w:pPr>
    </w:lvl>
    <w:lvl w:ilvl="5">
      <w:start w:val="1"/>
      <w:numFmt w:val="lowerRoman"/>
      <w:isLgl w:val="false"/>
      <w:suff w:val="tab"/>
      <w:lvlText w:val="%6."/>
      <w:lvlJc w:val="right"/>
      <w:pPr>
        <w:pStyle w:val="903"/>
        <w:ind w:left="3081" w:hanging="420"/>
      </w:pPr>
    </w:lvl>
    <w:lvl w:ilvl="6">
      <w:start w:val="1"/>
      <w:numFmt w:val="decimal"/>
      <w:isLgl w:val="false"/>
      <w:suff w:val="tab"/>
      <w:lvlText w:val="%7."/>
      <w:lvlJc w:val="left"/>
      <w:pPr>
        <w:pStyle w:val="903"/>
        <w:ind w:left="3501" w:hanging="420"/>
      </w:pPr>
    </w:lvl>
    <w:lvl w:ilvl="7">
      <w:start w:val="1"/>
      <w:numFmt w:val="lowerLetter"/>
      <w:isLgl w:val="false"/>
      <w:suff w:val="tab"/>
      <w:lvlText w:val="%8)"/>
      <w:lvlJc w:val="left"/>
      <w:pPr>
        <w:pStyle w:val="903"/>
        <w:ind w:left="3921" w:hanging="420"/>
      </w:pPr>
    </w:lvl>
    <w:lvl w:ilvl="8">
      <w:start w:val="1"/>
      <w:numFmt w:val="lowerRoman"/>
      <w:isLgl w:val="false"/>
      <w:suff w:val="tab"/>
      <w:lvlText w:val="%9."/>
      <w:lvlJc w:val="right"/>
      <w:pPr>
        <w:pStyle w:val="903"/>
        <w:ind w:left="4341" w:hanging="420"/>
      </w:pPr>
    </w:lvl>
  </w:abstractNum>
  <w:abstractNum w:abstractNumId="7">
    <w:multiLevelType w:val="hybridMultilevel"/>
    <w:lvl w:ilvl="0">
      <w:start w:val="1"/>
      <w:numFmt w:val="decimal"/>
      <w:pStyle w:val="999"/>
      <w:isLgl w:val="false"/>
      <w:suff w:val="tab"/>
      <w:lvlText w:val="%1."/>
      <w:lvlJc w:val="left"/>
      <w:pPr>
        <w:pStyle w:val="903"/>
        <w:ind w:left="709" w:hanging="709"/>
        <w:tabs>
          <w:tab w:val="num" w:pos="709" w:leader="none"/>
        </w:tabs>
      </w:pPr>
      <w:rPr>
        <w:rFonts w:hint="eastAsia"/>
      </w:rPr>
    </w:lvl>
    <w:lvl w:ilvl="1">
      <w:start w:val="1"/>
      <w:numFmt w:val="decimal"/>
      <w:isLgl w:val="false"/>
      <w:suff w:val="tab"/>
      <w:lvlText w:val="%1.%2"/>
      <w:lvlJc w:val="left"/>
      <w:pPr>
        <w:pStyle w:val="903"/>
        <w:ind w:left="709" w:hanging="709"/>
        <w:tabs>
          <w:tab w:val="num" w:pos="709" w:leader="none"/>
        </w:tabs>
      </w:pPr>
      <w:rPr>
        <w:rFonts w:hint="eastAsia"/>
      </w:rPr>
    </w:lvl>
    <w:lvl w:ilvl="2">
      <w:start w:val="1"/>
      <w:numFmt w:val="decimal"/>
      <w:isLgl w:val="false"/>
      <w:suff w:val="tab"/>
      <w:lvlText w:val="%1.%2.%3."/>
      <w:lvlJc w:val="left"/>
      <w:pPr>
        <w:pStyle w:val="903"/>
        <w:ind w:left="425" w:hanging="425"/>
        <w:tabs>
          <w:tab w:val="num" w:pos="425" w:leader="none"/>
        </w:tabs>
      </w:pPr>
      <w:rPr>
        <w:rFonts w:hint="eastAsia"/>
      </w:rPr>
    </w:lvl>
    <w:lvl w:ilvl="3">
      <w:start w:val="1"/>
      <w:numFmt w:val="decimal"/>
      <w:isLgl w:val="false"/>
      <w:suff w:val="tab"/>
      <w:lvlText w:val="%1.%2.%3.%4."/>
      <w:lvlJc w:val="left"/>
      <w:pPr>
        <w:pStyle w:val="903"/>
        <w:ind w:left="851" w:hanging="851"/>
        <w:tabs>
          <w:tab w:val="num" w:pos="851" w:leader="none"/>
        </w:tabs>
      </w:pPr>
      <w:rPr>
        <w:rFonts w:hint="eastAsia"/>
      </w:rPr>
    </w:lvl>
    <w:lvl w:ilvl="4">
      <w:start w:val="1"/>
      <w:numFmt w:val="decimal"/>
      <w:isLgl w:val="false"/>
      <w:suff w:val="tab"/>
      <w:lvlText w:val="%1.%2.%3.%4.%5."/>
      <w:lvlJc w:val="left"/>
      <w:pPr>
        <w:pStyle w:val="903"/>
        <w:ind w:left="992" w:hanging="992"/>
        <w:tabs>
          <w:tab w:val="num" w:pos="992" w:leader="none"/>
        </w:tabs>
      </w:pPr>
      <w:rPr>
        <w:rFonts w:hint="eastAsia"/>
      </w:rPr>
    </w:lvl>
    <w:lvl w:ilvl="5">
      <w:start w:val="1"/>
      <w:numFmt w:val="decimal"/>
      <w:isLgl w:val="false"/>
      <w:suff w:val="tab"/>
      <w:lvlText w:val="%1.%2.%3.%4.%5.%6."/>
      <w:lvlJc w:val="left"/>
      <w:pPr>
        <w:pStyle w:val="903"/>
        <w:ind w:left="1134" w:hanging="1134"/>
        <w:tabs>
          <w:tab w:val="num" w:pos="1134" w:leader="none"/>
        </w:tabs>
      </w:pPr>
      <w:rPr>
        <w:rFonts w:hint="eastAsia"/>
      </w:rPr>
    </w:lvl>
    <w:lvl w:ilvl="6">
      <w:start w:val="1"/>
      <w:numFmt w:val="decimal"/>
      <w:isLgl w:val="false"/>
      <w:suff w:val="tab"/>
      <w:lvlText w:val="%1.%2.%3.%4.%5.%6.%7."/>
      <w:lvlJc w:val="left"/>
      <w:pPr>
        <w:pStyle w:val="903"/>
        <w:ind w:left="1276" w:hanging="1276"/>
        <w:tabs>
          <w:tab w:val="num" w:pos="1276" w:leader="none"/>
        </w:tabs>
      </w:pPr>
      <w:rPr>
        <w:rFonts w:hint="eastAsia"/>
      </w:rPr>
    </w:lvl>
    <w:lvl w:ilvl="7">
      <w:start w:val="1"/>
      <w:numFmt w:val="decimal"/>
      <w:isLgl w:val="false"/>
      <w:suff w:val="tab"/>
      <w:lvlText w:val="%1.%2.%3.%4.%5.%6.%7.%8."/>
      <w:lvlJc w:val="left"/>
      <w:pPr>
        <w:pStyle w:val="903"/>
        <w:ind w:left="1418" w:hanging="1418"/>
        <w:tabs>
          <w:tab w:val="num" w:pos="1418" w:leader="none"/>
        </w:tabs>
      </w:pPr>
      <w:rPr>
        <w:rFonts w:hint="eastAsia"/>
      </w:rPr>
    </w:lvl>
    <w:lvl w:ilvl="8">
      <w:start w:val="1"/>
      <w:numFmt w:val="decimal"/>
      <w:isLgl w:val="false"/>
      <w:suff w:val="tab"/>
      <w:lvlText w:val="%1.%2.%3.%4.%5.%6.%7.%8.%9."/>
      <w:lvlJc w:val="left"/>
      <w:pPr>
        <w:pStyle w:val="903"/>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03"/>
        <w:ind w:left="0" w:firstLine="0"/>
      </w:pPr>
      <w:rPr>
        <w:rFonts w:hint="eastAsia"/>
      </w:rPr>
    </w:lvl>
    <w:lvl w:ilvl="1">
      <w:start w:val="1"/>
      <w:numFmt w:val="decimal"/>
      <w:isLgl w:val="false"/>
      <w:suff w:val="nothing"/>
      <w:lvlText w:val="%2、"/>
      <w:lvlJc w:val="left"/>
      <w:pPr>
        <w:pStyle w:val="903"/>
        <w:ind w:left="0" w:firstLine="0"/>
      </w:pPr>
      <w:rPr>
        <w:rFonts w:hint="eastAsia"/>
      </w:rPr>
    </w:lvl>
    <w:lvl w:ilvl="2">
      <w:start w:val="1"/>
      <w:numFmt w:val="decimal"/>
      <w:isLgl w:val="false"/>
      <w:suff w:val="nothing"/>
      <w:lvlText w:val="%2.%3 "/>
      <w:lvlJc w:val="left"/>
      <w:pPr>
        <w:pStyle w:val="903"/>
        <w:ind w:left="0" w:firstLine="0"/>
      </w:pPr>
      <w:rPr>
        <w:rFonts w:hint="eastAsia"/>
      </w:rPr>
    </w:lvl>
    <w:lvl w:ilvl="3">
      <w:start w:val="1"/>
      <w:numFmt w:val="decimal"/>
      <w:isLgl w:val="false"/>
      <w:suff w:val="nothing"/>
      <w:lvlText w:val="%2.%3.%4 "/>
      <w:lvlJc w:val="left"/>
      <w:pPr>
        <w:pStyle w:val="903"/>
        <w:ind w:left="0" w:firstLine="0"/>
      </w:pPr>
      <w:rPr>
        <w:rFonts w:hint="eastAsia"/>
      </w:rPr>
    </w:lvl>
    <w:lvl w:ilvl="4">
      <w:start w:val="1"/>
      <w:numFmt w:val="decimal"/>
      <w:isLgl w:val="false"/>
      <w:suff w:val="nothing"/>
      <w:lvlText w:val="%2.%3.%4.%5 "/>
      <w:lvlJc w:val="left"/>
      <w:pPr>
        <w:pStyle w:val="903"/>
        <w:ind w:left="0" w:firstLine="0"/>
      </w:pPr>
      <w:rPr>
        <w:rFonts w:hint="eastAsia"/>
      </w:rPr>
    </w:lvl>
    <w:lvl w:ilvl="5">
      <w:start w:val="1"/>
      <w:numFmt w:val="decimal"/>
      <w:pStyle w:val="909"/>
      <w:isLgl w:val="false"/>
      <w:suff w:val="nothing"/>
      <w:lvlText w:val=""/>
      <w:lvlJc w:val="left"/>
      <w:pPr>
        <w:pStyle w:val="903"/>
        <w:ind w:left="0" w:firstLine="0"/>
      </w:pPr>
      <w:rPr>
        <w:rFonts w:hint="eastAsia"/>
      </w:rPr>
    </w:lvl>
    <w:lvl w:ilvl="6">
      <w:start w:val="1"/>
      <w:numFmt w:val="decimal"/>
      <w:pStyle w:val="910"/>
      <w:isLgl w:val="false"/>
      <w:suff w:val="nothing"/>
      <w:lvlText w:val=""/>
      <w:lvlJc w:val="left"/>
      <w:pPr>
        <w:pStyle w:val="903"/>
        <w:ind w:left="0" w:firstLine="0"/>
      </w:pPr>
      <w:rPr>
        <w:rFonts w:hint="eastAsia"/>
      </w:rPr>
    </w:lvl>
    <w:lvl w:ilvl="7">
      <w:start w:val="1"/>
      <w:numFmt w:val="decimal"/>
      <w:pStyle w:val="911"/>
      <w:isLgl w:val="false"/>
      <w:suff w:val="nothing"/>
      <w:lvlText w:val=""/>
      <w:lvlJc w:val="left"/>
      <w:pPr>
        <w:pStyle w:val="903"/>
        <w:ind w:left="0" w:firstLine="0"/>
      </w:pPr>
      <w:rPr>
        <w:rFonts w:hint="eastAsia"/>
      </w:rPr>
    </w:lvl>
    <w:lvl w:ilvl="8">
      <w:start w:val="1"/>
      <w:numFmt w:val="decimal"/>
      <w:pStyle w:val="912"/>
      <w:isLgl w:val="false"/>
      <w:suff w:val="nothing"/>
      <w:lvlText w:val=""/>
      <w:lvlJc w:val="left"/>
      <w:pPr>
        <w:pStyle w:val="903"/>
        <w:ind w:left="0" w:firstLine="0"/>
      </w:pPr>
      <w:rPr>
        <w:rFonts w:hint="eastAsia"/>
      </w:rPr>
    </w:lvl>
  </w:abstractNum>
  <w:abstractNum w:abstractNumId="9">
    <w:multiLevelType w:val="hybridMultilevel"/>
    <w:lvl w:ilvl="0">
      <w:start w:val="1"/>
      <w:numFmt w:val="decimal"/>
      <w:isLgl w:val="false"/>
      <w:suff w:val="tab"/>
      <w:lvlText w:val="（%1）"/>
      <w:lvlJc w:val="left"/>
      <w:pPr>
        <w:pStyle w:val="903"/>
        <w:ind w:left="981" w:hanging="420"/>
      </w:pPr>
    </w:lvl>
    <w:lvl w:ilvl="1">
      <w:start w:val="1"/>
      <w:numFmt w:val="lowerLetter"/>
      <w:isLgl w:val="false"/>
      <w:suff w:val="tab"/>
      <w:lvlText w:val="%2)"/>
      <w:lvlJc w:val="left"/>
      <w:pPr>
        <w:pStyle w:val="903"/>
        <w:ind w:left="1401" w:hanging="420"/>
      </w:pPr>
    </w:lvl>
    <w:lvl w:ilvl="2">
      <w:start w:val="1"/>
      <w:numFmt w:val="lowerRoman"/>
      <w:isLgl w:val="false"/>
      <w:suff w:val="tab"/>
      <w:lvlText w:val="%3."/>
      <w:lvlJc w:val="right"/>
      <w:pPr>
        <w:pStyle w:val="903"/>
        <w:ind w:left="1821" w:hanging="420"/>
      </w:pPr>
    </w:lvl>
    <w:lvl w:ilvl="3">
      <w:start w:val="1"/>
      <w:numFmt w:val="decimal"/>
      <w:isLgl w:val="false"/>
      <w:suff w:val="tab"/>
      <w:lvlText w:val="%4."/>
      <w:lvlJc w:val="left"/>
      <w:pPr>
        <w:pStyle w:val="903"/>
        <w:ind w:left="2241" w:hanging="420"/>
      </w:pPr>
    </w:lvl>
    <w:lvl w:ilvl="4">
      <w:start w:val="1"/>
      <w:numFmt w:val="lowerLetter"/>
      <w:isLgl w:val="false"/>
      <w:suff w:val="tab"/>
      <w:lvlText w:val="%5)"/>
      <w:lvlJc w:val="left"/>
      <w:pPr>
        <w:pStyle w:val="903"/>
        <w:ind w:left="2661" w:hanging="420"/>
      </w:pPr>
    </w:lvl>
    <w:lvl w:ilvl="5">
      <w:start w:val="1"/>
      <w:numFmt w:val="lowerRoman"/>
      <w:isLgl w:val="false"/>
      <w:suff w:val="tab"/>
      <w:lvlText w:val="%6."/>
      <w:lvlJc w:val="right"/>
      <w:pPr>
        <w:pStyle w:val="903"/>
        <w:ind w:left="3081" w:hanging="420"/>
      </w:pPr>
    </w:lvl>
    <w:lvl w:ilvl="6">
      <w:start w:val="1"/>
      <w:numFmt w:val="decimal"/>
      <w:isLgl w:val="false"/>
      <w:suff w:val="tab"/>
      <w:lvlText w:val="%7."/>
      <w:lvlJc w:val="left"/>
      <w:pPr>
        <w:pStyle w:val="903"/>
        <w:ind w:left="3501" w:hanging="420"/>
      </w:pPr>
    </w:lvl>
    <w:lvl w:ilvl="7">
      <w:start w:val="1"/>
      <w:numFmt w:val="lowerLetter"/>
      <w:isLgl w:val="false"/>
      <w:suff w:val="tab"/>
      <w:lvlText w:val="%8)"/>
      <w:lvlJc w:val="left"/>
      <w:pPr>
        <w:pStyle w:val="903"/>
        <w:ind w:left="3921" w:hanging="420"/>
      </w:pPr>
    </w:lvl>
    <w:lvl w:ilvl="8">
      <w:start w:val="1"/>
      <w:numFmt w:val="lowerRoman"/>
      <w:isLgl w:val="false"/>
      <w:suff w:val="tab"/>
      <w:lvlText w:val="%9."/>
      <w:lvlJc w:val="right"/>
      <w:pPr>
        <w:pStyle w:val="903"/>
        <w:ind w:left="4341" w:hanging="420"/>
      </w:pPr>
    </w:lvl>
  </w:abstractNum>
  <w:abstractNum w:abstractNumId="10">
    <w:multiLevelType w:val="hybridMultilevel"/>
    <w:lvl w:ilvl="0">
      <w:start w:val="4"/>
      <w:numFmt w:val="chineseCounting"/>
      <w:isLgl w:val="false"/>
      <w:suff w:val="space"/>
      <w:lvlText w:val="第%1章"/>
      <w:lvlJc w:val="left"/>
      <w:pPr>
        <w:pStyle w:val="9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9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7"/>
  </w:num>
  <w:num w:numId="4">
    <w:abstractNumId w:val="11"/>
  </w:num>
  <w:num w:numId="5">
    <w:abstractNumId w:val="1"/>
  </w:num>
  <w:num w:numId="6">
    <w:abstractNumId w:val="10"/>
  </w:num>
  <w:num w:numId="7">
    <w:abstractNumId w:val="5"/>
  </w:num>
  <w:num w:numId="8">
    <w:abstractNumId w:val="2"/>
  </w:num>
  <w:num w:numId="9">
    <w:abstractNumId w:val="9"/>
  </w:num>
  <w:num w:numId="10">
    <w:abstractNumId w:val="0"/>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3"/>
    <w:link w:val="903"/>
    <w:qFormat/>
    <w:pPr>
      <w:jc w:val="both"/>
      <w:widowControl w:val="off"/>
    </w:pPr>
    <w:rPr>
      <w:rFonts w:ascii="Times New Roman" w:hAnsi="Times New Roman"/>
      <w:sz w:val="21"/>
      <w:szCs w:val="21"/>
      <w:lang w:val="en-US" w:eastAsia="zh-CN" w:bidi="ar-SA"/>
    </w:rPr>
  </w:style>
  <w:style w:type="paragraph" w:styleId="904">
    <w:name w:val="标题 1"/>
    <w:basedOn w:val="903"/>
    <w:next w:val="903"/>
    <w:link w:val="916"/>
    <w:qFormat/>
    <w:pPr>
      <w:jc w:val="center"/>
      <w:keepNext/>
      <w:outlineLvl w:val="0"/>
    </w:pPr>
    <w:rPr>
      <w:rFonts w:ascii="楷体_GB2312" w:eastAsia="楷体_GB2312"/>
      <w:sz w:val="28"/>
      <w:szCs w:val="28"/>
      <w:lang w:val="en-US" w:eastAsia="en-US"/>
    </w:rPr>
  </w:style>
  <w:style w:type="paragraph" w:styleId="905">
    <w:name w:val="标题 2"/>
    <w:basedOn w:val="903"/>
    <w:next w:val="918"/>
    <w:link w:val="917"/>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6">
    <w:name w:val="标题 3"/>
    <w:basedOn w:val="903"/>
    <w:next w:val="918"/>
    <w:link w:val="920"/>
    <w:qFormat/>
    <w:pPr>
      <w:keepLines/>
      <w:keepNext/>
      <w:spacing w:before="260" w:after="260" w:line="416" w:lineRule="auto"/>
      <w:outlineLvl w:val="2"/>
    </w:pPr>
    <w:rPr>
      <w:b/>
      <w:bCs/>
      <w:sz w:val="32"/>
      <w:szCs w:val="32"/>
      <w:lang w:val="en-US" w:eastAsia="en-US"/>
    </w:rPr>
  </w:style>
  <w:style w:type="paragraph" w:styleId="907">
    <w:name w:val="标题 4"/>
    <w:basedOn w:val="903"/>
    <w:next w:val="918"/>
    <w:link w:val="921"/>
    <w:qFormat/>
    <w:pPr>
      <w:keepLines/>
      <w:keepNext/>
      <w:spacing w:before="280" w:after="290" w:line="376" w:lineRule="auto"/>
      <w:outlineLvl w:val="3"/>
    </w:pPr>
    <w:rPr>
      <w:rFonts w:ascii="Arial" w:hAnsi="Arial" w:eastAsia="黑体"/>
      <w:b/>
      <w:bCs/>
      <w:sz w:val="28"/>
      <w:szCs w:val="28"/>
      <w:lang w:val="en-US" w:eastAsia="en-US"/>
    </w:rPr>
  </w:style>
  <w:style w:type="paragraph" w:styleId="908">
    <w:name w:val="标题 5"/>
    <w:basedOn w:val="903"/>
    <w:next w:val="918"/>
    <w:link w:val="922"/>
    <w:qFormat/>
    <w:pPr>
      <w:keepNext/>
      <w:outlineLvl w:val="4"/>
    </w:pPr>
    <w:rPr>
      <w:rFonts w:ascii="宋体"/>
      <w:color w:val="000000"/>
      <w:sz w:val="28"/>
      <w:szCs w:val="28"/>
      <w:lang w:val="en-US" w:eastAsia="en-US"/>
    </w:rPr>
  </w:style>
  <w:style w:type="paragraph" w:styleId="909">
    <w:name w:val="标题 6"/>
    <w:basedOn w:val="903"/>
    <w:next w:val="903"/>
    <w:link w:val="923"/>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0">
    <w:name w:val="标题 7"/>
    <w:basedOn w:val="903"/>
    <w:next w:val="903"/>
    <w:link w:val="924"/>
    <w:qFormat/>
    <w:pPr>
      <w:numPr>
        <w:ilvl w:val="6"/>
        <w:numId w:val="1"/>
      </w:numPr>
      <w:keepLines/>
      <w:keepNext/>
      <w:spacing w:before="240" w:after="64" w:line="320" w:lineRule="auto"/>
      <w:outlineLvl w:val="6"/>
    </w:pPr>
    <w:rPr>
      <w:b/>
      <w:bCs/>
      <w:sz w:val="24"/>
      <w:szCs w:val="24"/>
      <w:lang w:val="en-US" w:eastAsia="en-US"/>
    </w:rPr>
  </w:style>
  <w:style w:type="paragraph" w:styleId="911">
    <w:name w:val="标题 8"/>
    <w:basedOn w:val="903"/>
    <w:next w:val="903"/>
    <w:link w:val="92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2">
    <w:name w:val="标题 9"/>
    <w:basedOn w:val="903"/>
    <w:next w:val="903"/>
    <w:link w:val="926"/>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3">
    <w:name w:val="默认段落字体"/>
    <w:next w:val="913"/>
    <w:link w:val="903"/>
    <w:uiPriority w:val="1"/>
    <w:unhideWhenUsed/>
  </w:style>
  <w:style w:type="table" w:styleId="914">
    <w:name w:val="普通表格"/>
    <w:next w:val="914"/>
    <w:link w:val="903"/>
    <w:uiPriority w:val="99"/>
    <w:unhideWhenUsed/>
    <w:tblPr/>
  </w:style>
  <w:style w:type="numbering" w:styleId="915">
    <w:name w:val="无列表"/>
    <w:next w:val="915"/>
    <w:link w:val="903"/>
    <w:uiPriority w:val="99"/>
    <w:semiHidden/>
    <w:unhideWhenUsed/>
  </w:style>
  <w:style w:type="character" w:styleId="916">
    <w:name w:val="标题 1 Char"/>
    <w:next w:val="916"/>
    <w:link w:val="904"/>
    <w:rPr>
      <w:rFonts w:ascii="楷体_GB2312" w:hAnsi="Times New Roman" w:eastAsia="楷体_GB2312" w:cs="Times New Roman"/>
      <w:sz w:val="28"/>
      <w:szCs w:val="28"/>
    </w:rPr>
  </w:style>
  <w:style w:type="character" w:styleId="917">
    <w:name w:val="标题 2 Char"/>
    <w:next w:val="917"/>
    <w:link w:val="905"/>
    <w:qFormat/>
    <w:rPr>
      <w:rFonts w:ascii="Arial" w:hAnsi="Arial" w:eastAsia="幼圆" w:cs="Arial"/>
      <w:b/>
      <w:bCs/>
      <w:sz w:val="44"/>
      <w:szCs w:val="44"/>
    </w:rPr>
  </w:style>
  <w:style w:type="paragraph" w:styleId="918">
    <w:name w:val="正文缩进"/>
    <w:basedOn w:val="903"/>
    <w:next w:val="918"/>
    <w:link w:val="919"/>
    <w:qFormat/>
    <w:pPr>
      <w:ind w:firstLine="420"/>
    </w:pPr>
    <w:rPr>
      <w:sz w:val="20"/>
      <w:lang w:val="en-US" w:eastAsia="en-US"/>
    </w:rPr>
  </w:style>
  <w:style w:type="character" w:styleId="919">
    <w:name w:val="正文缩进 Char"/>
    <w:next w:val="919"/>
    <w:link w:val="918"/>
    <w:rPr>
      <w:rFonts w:ascii="Times New Roman" w:hAnsi="Times New Roman" w:eastAsia="宋体" w:cs="Times New Roman"/>
      <w:szCs w:val="21"/>
    </w:rPr>
  </w:style>
  <w:style w:type="character" w:styleId="920">
    <w:name w:val="标题 3 Char"/>
    <w:next w:val="920"/>
    <w:link w:val="906"/>
    <w:qFormat/>
    <w:rPr>
      <w:rFonts w:ascii="Times New Roman" w:hAnsi="Times New Roman" w:eastAsia="宋体" w:cs="Times New Roman"/>
      <w:b/>
      <w:bCs/>
      <w:sz w:val="32"/>
      <w:szCs w:val="32"/>
    </w:rPr>
  </w:style>
  <w:style w:type="character" w:styleId="921">
    <w:name w:val="标题 4 Char"/>
    <w:next w:val="921"/>
    <w:link w:val="907"/>
    <w:qFormat/>
    <w:rPr>
      <w:rFonts w:ascii="Arial" w:hAnsi="Arial" w:eastAsia="黑体" w:cs="Arial"/>
      <w:b/>
      <w:bCs/>
      <w:sz w:val="28"/>
      <w:szCs w:val="28"/>
    </w:rPr>
  </w:style>
  <w:style w:type="character" w:styleId="922">
    <w:name w:val="标题 5 Char"/>
    <w:next w:val="922"/>
    <w:link w:val="908"/>
    <w:rPr>
      <w:rFonts w:ascii="宋体" w:hAnsi="Times New Roman" w:eastAsia="宋体" w:cs="Times New Roman"/>
      <w:color w:val="000000"/>
      <w:sz w:val="28"/>
      <w:szCs w:val="28"/>
    </w:rPr>
  </w:style>
  <w:style w:type="character" w:styleId="923">
    <w:name w:val="标题 6 Char"/>
    <w:next w:val="923"/>
    <w:link w:val="909"/>
    <w:rPr>
      <w:rFonts w:ascii="Arial" w:hAnsi="Arial" w:eastAsia="黑体" w:cs="Times New Roman"/>
      <w:b/>
      <w:bCs/>
      <w:sz w:val="24"/>
      <w:szCs w:val="24"/>
    </w:rPr>
  </w:style>
  <w:style w:type="character" w:styleId="924">
    <w:name w:val="标题 7 Char"/>
    <w:next w:val="924"/>
    <w:link w:val="910"/>
    <w:rPr>
      <w:rFonts w:ascii="Times New Roman" w:hAnsi="Times New Roman" w:eastAsia="宋体" w:cs="Times New Roman"/>
      <w:b/>
      <w:bCs/>
      <w:sz w:val="24"/>
      <w:szCs w:val="24"/>
    </w:rPr>
  </w:style>
  <w:style w:type="character" w:styleId="925">
    <w:name w:val="标题 8 Char"/>
    <w:next w:val="925"/>
    <w:link w:val="911"/>
    <w:rPr>
      <w:rFonts w:ascii="Arial" w:hAnsi="Arial" w:eastAsia="黑体" w:cs="Times New Roman"/>
      <w:sz w:val="24"/>
      <w:szCs w:val="24"/>
    </w:rPr>
  </w:style>
  <w:style w:type="character" w:styleId="926">
    <w:name w:val="标题 9 Char"/>
    <w:next w:val="926"/>
    <w:link w:val="912"/>
    <w:rPr>
      <w:rFonts w:ascii="Arial" w:hAnsi="Arial" w:eastAsia="黑体" w:cs="Times New Roman"/>
      <w:szCs w:val="21"/>
    </w:rPr>
  </w:style>
  <w:style w:type="paragraph" w:styleId="927">
    <w:name w:val="列表 3"/>
    <w:basedOn w:val="903"/>
    <w:next w:val="927"/>
    <w:link w:val="903"/>
    <w:pPr>
      <w:ind w:left="100" w:hanging="200"/>
    </w:pPr>
  </w:style>
  <w:style w:type="paragraph" w:styleId="928">
    <w:name w:val="目录 7"/>
    <w:basedOn w:val="903"/>
    <w:next w:val="903"/>
    <w:link w:val="903"/>
    <w:semiHidden/>
    <w:pPr>
      <w:ind w:left="1260"/>
      <w:jc w:val="left"/>
    </w:pPr>
  </w:style>
  <w:style w:type="paragraph" w:styleId="929">
    <w:name w:val="文档结构图"/>
    <w:basedOn w:val="903"/>
    <w:next w:val="929"/>
    <w:link w:val="930"/>
    <w:semiHidden/>
    <w:pPr>
      <w:shd w:val="clear" w:color="auto" w:fill="000080"/>
    </w:pPr>
    <w:rPr>
      <w:sz w:val="20"/>
      <w:lang w:val="en-US" w:eastAsia="en-US"/>
    </w:rPr>
  </w:style>
  <w:style w:type="character" w:styleId="930">
    <w:name w:val="文档结构图 Char"/>
    <w:next w:val="930"/>
    <w:link w:val="929"/>
    <w:semiHidden/>
    <w:rPr>
      <w:rFonts w:ascii="Times New Roman" w:hAnsi="Times New Roman" w:eastAsia="宋体" w:cs="Times New Roman"/>
      <w:szCs w:val="21"/>
      <w:shd w:val="clear" w:color="auto" w:fill="000080"/>
    </w:rPr>
  </w:style>
  <w:style w:type="paragraph" w:styleId="931">
    <w:name w:val="批注文字"/>
    <w:basedOn w:val="903"/>
    <w:next w:val="931"/>
    <w:link w:val="932"/>
    <w:qFormat/>
    <w:pPr>
      <w:jc w:val="left"/>
    </w:pPr>
    <w:rPr>
      <w:sz w:val="20"/>
      <w:lang w:val="en-US" w:eastAsia="en-US"/>
    </w:rPr>
  </w:style>
  <w:style w:type="character" w:styleId="932">
    <w:name w:val="批注文字 Char"/>
    <w:next w:val="932"/>
    <w:link w:val="931"/>
    <w:rPr>
      <w:rFonts w:ascii="Times New Roman" w:hAnsi="Times New Roman" w:eastAsia="宋体" w:cs="Times New Roman"/>
      <w:szCs w:val="21"/>
    </w:rPr>
  </w:style>
  <w:style w:type="paragraph" w:styleId="933">
    <w:name w:val="正文文本 3"/>
    <w:basedOn w:val="903"/>
    <w:next w:val="933"/>
    <w:link w:val="934"/>
    <w:rPr>
      <w:rFonts w:ascii="仿宋_GB2312" w:hAnsi="Arial" w:eastAsia="仿宋_GB2312"/>
      <w:sz w:val="32"/>
      <w:szCs w:val="32"/>
      <w:lang w:val="en-US" w:eastAsia="en-US"/>
    </w:rPr>
  </w:style>
  <w:style w:type="character" w:styleId="934">
    <w:name w:val="正文文本 3 Char"/>
    <w:next w:val="934"/>
    <w:link w:val="933"/>
    <w:rPr>
      <w:rFonts w:ascii="仿宋_GB2312" w:hAnsi="Arial" w:eastAsia="仿宋_GB2312" w:cs="Times New Roman"/>
      <w:sz w:val="32"/>
      <w:szCs w:val="32"/>
    </w:rPr>
  </w:style>
  <w:style w:type="paragraph" w:styleId="935">
    <w:name w:val="正文文本"/>
    <w:basedOn w:val="903"/>
    <w:next w:val="935"/>
    <w:link w:val="936"/>
    <w:qFormat/>
    <w:rPr>
      <w:rFonts w:ascii="楷体_GB2312" w:hAnsi="Arial" w:eastAsia="楷体_GB2312"/>
      <w:sz w:val="28"/>
      <w:szCs w:val="28"/>
      <w:lang w:val="en-US" w:eastAsia="en-US"/>
    </w:rPr>
  </w:style>
  <w:style w:type="character" w:styleId="936">
    <w:name w:val="正文文本 Char"/>
    <w:next w:val="936"/>
    <w:link w:val="935"/>
    <w:rPr>
      <w:rFonts w:ascii="楷体_GB2312" w:hAnsi="Arial" w:eastAsia="楷体_GB2312" w:cs="Times New Roman"/>
      <w:sz w:val="28"/>
      <w:szCs w:val="28"/>
    </w:rPr>
  </w:style>
  <w:style w:type="paragraph" w:styleId="937">
    <w:name w:val="正文文本缩进"/>
    <w:basedOn w:val="903"/>
    <w:next w:val="937"/>
    <w:link w:val="938"/>
    <w:qFormat/>
    <w:pPr>
      <w:ind w:firstLine="645"/>
    </w:pPr>
    <w:rPr>
      <w:rFonts w:ascii="楷体_GB2312" w:eastAsia="楷体_GB2312"/>
      <w:sz w:val="32"/>
      <w:szCs w:val="32"/>
      <w:lang w:val="en-US" w:eastAsia="en-US"/>
    </w:rPr>
  </w:style>
  <w:style w:type="character" w:styleId="938">
    <w:name w:val="正文文本缩进 Char"/>
    <w:next w:val="938"/>
    <w:link w:val="937"/>
    <w:rPr>
      <w:rFonts w:ascii="楷体_GB2312" w:hAnsi="Times New Roman" w:eastAsia="楷体_GB2312" w:cs="Times New Roman"/>
      <w:sz w:val="32"/>
      <w:szCs w:val="32"/>
    </w:rPr>
  </w:style>
  <w:style w:type="paragraph" w:styleId="939">
    <w:name w:val="列表 2"/>
    <w:basedOn w:val="903"/>
    <w:next w:val="939"/>
    <w:link w:val="903"/>
    <w:pPr>
      <w:ind w:left="100" w:hanging="200"/>
    </w:pPr>
  </w:style>
  <w:style w:type="paragraph" w:styleId="940">
    <w:name w:val="目录 5"/>
    <w:basedOn w:val="903"/>
    <w:next w:val="903"/>
    <w:link w:val="903"/>
    <w:semiHidden/>
    <w:pPr>
      <w:ind w:left="840"/>
      <w:jc w:val="left"/>
    </w:pPr>
  </w:style>
  <w:style w:type="paragraph" w:styleId="941">
    <w:name w:val="目录 3"/>
    <w:basedOn w:val="903"/>
    <w:next w:val="903"/>
    <w:link w:val="903"/>
    <w:qFormat/>
    <w:pPr>
      <w:ind w:left="420"/>
      <w:jc w:val="left"/>
    </w:pPr>
    <w:rPr>
      <w:i/>
      <w:iCs/>
      <w:szCs w:val="24"/>
    </w:rPr>
  </w:style>
  <w:style w:type="paragraph" w:styleId="942">
    <w:name w:val="纯文本"/>
    <w:basedOn w:val="903"/>
    <w:next w:val="942"/>
    <w:link w:val="943"/>
    <w:qFormat/>
    <w:rPr>
      <w:rFonts w:ascii="宋体" w:hAnsi="Courier New"/>
      <w:sz w:val="20"/>
      <w:lang w:val="en-US" w:eastAsia="en-US"/>
    </w:rPr>
  </w:style>
  <w:style w:type="character" w:styleId="943">
    <w:name w:val="纯文本 Char"/>
    <w:next w:val="943"/>
    <w:link w:val="942"/>
    <w:qFormat/>
    <w:rPr>
      <w:rFonts w:ascii="宋体" w:hAnsi="Courier New" w:eastAsia="宋体" w:cs="Courier New"/>
      <w:szCs w:val="21"/>
    </w:rPr>
  </w:style>
  <w:style w:type="paragraph" w:styleId="944">
    <w:name w:val="目录 8"/>
    <w:basedOn w:val="903"/>
    <w:next w:val="903"/>
    <w:link w:val="903"/>
    <w:semiHidden/>
    <w:pPr>
      <w:ind w:left="1470"/>
      <w:jc w:val="left"/>
    </w:pPr>
  </w:style>
  <w:style w:type="paragraph" w:styleId="945">
    <w:name w:val="日期"/>
    <w:basedOn w:val="903"/>
    <w:next w:val="903"/>
    <w:link w:val="946"/>
    <w:rPr>
      <w:sz w:val="24"/>
      <w:szCs w:val="24"/>
      <w:lang w:val="en-US" w:eastAsia="en-US"/>
    </w:rPr>
  </w:style>
  <w:style w:type="character" w:styleId="946">
    <w:name w:val="日期 Char"/>
    <w:next w:val="946"/>
    <w:link w:val="945"/>
    <w:rPr>
      <w:rFonts w:ascii="Times New Roman" w:hAnsi="Times New Roman" w:eastAsia="宋体" w:cs="Times New Roman"/>
      <w:sz w:val="24"/>
      <w:szCs w:val="24"/>
    </w:rPr>
  </w:style>
  <w:style w:type="paragraph" w:styleId="947">
    <w:name w:val="正文文本缩进 2"/>
    <w:basedOn w:val="903"/>
    <w:next w:val="947"/>
    <w:link w:val="948"/>
    <w:pPr>
      <w:ind w:left="630" w:firstLine="645"/>
    </w:pPr>
    <w:rPr>
      <w:rFonts w:ascii="Arial" w:hAnsi="Arial" w:eastAsia="仿宋_GB2312"/>
      <w:sz w:val="32"/>
      <w:szCs w:val="32"/>
      <w:lang w:val="en-US" w:eastAsia="en-US"/>
    </w:rPr>
  </w:style>
  <w:style w:type="character" w:styleId="948">
    <w:name w:val="正文文本缩进 2 Char"/>
    <w:next w:val="948"/>
    <w:link w:val="947"/>
    <w:rPr>
      <w:rFonts w:ascii="Arial" w:hAnsi="Arial" w:eastAsia="仿宋_GB2312" w:cs="Arial"/>
      <w:sz w:val="32"/>
      <w:szCs w:val="32"/>
    </w:rPr>
  </w:style>
  <w:style w:type="paragraph" w:styleId="949">
    <w:name w:val="批注框文本"/>
    <w:basedOn w:val="903"/>
    <w:next w:val="949"/>
    <w:link w:val="950"/>
    <w:rPr>
      <w:sz w:val="18"/>
      <w:szCs w:val="18"/>
      <w:lang w:val="en-US" w:eastAsia="en-US"/>
    </w:rPr>
  </w:style>
  <w:style w:type="character" w:styleId="950">
    <w:name w:val="批注框文本 Char"/>
    <w:next w:val="950"/>
    <w:link w:val="949"/>
    <w:rPr>
      <w:rFonts w:ascii="Times New Roman" w:hAnsi="Times New Roman" w:eastAsia="宋体" w:cs="Times New Roman"/>
      <w:sz w:val="18"/>
      <w:szCs w:val="18"/>
    </w:rPr>
  </w:style>
  <w:style w:type="paragraph" w:styleId="951">
    <w:name w:val="页脚"/>
    <w:basedOn w:val="903"/>
    <w:next w:val="951"/>
    <w:link w:val="952"/>
    <w:uiPriority w:val="99"/>
    <w:qFormat/>
    <w:pPr>
      <w:jc w:val="left"/>
      <w:tabs>
        <w:tab w:val="center" w:pos="4153" w:leader="none"/>
        <w:tab w:val="right" w:pos="8306" w:leader="none"/>
      </w:tabs>
    </w:pPr>
    <w:rPr>
      <w:sz w:val="18"/>
      <w:szCs w:val="18"/>
      <w:lang w:val="en-US" w:eastAsia="en-US"/>
    </w:rPr>
  </w:style>
  <w:style w:type="character" w:styleId="952">
    <w:name w:val="页脚 Char"/>
    <w:next w:val="952"/>
    <w:link w:val="951"/>
    <w:uiPriority w:val="99"/>
    <w:rPr>
      <w:rFonts w:ascii="Times New Roman" w:hAnsi="Times New Roman" w:eastAsia="宋体" w:cs="Times New Roman"/>
      <w:sz w:val="18"/>
      <w:szCs w:val="18"/>
    </w:rPr>
  </w:style>
  <w:style w:type="paragraph" w:styleId="953">
    <w:name w:val="页眉"/>
    <w:basedOn w:val="903"/>
    <w:next w:val="953"/>
    <w:link w:val="954"/>
    <w:qFormat/>
    <w:pPr>
      <w:jc w:val="center"/>
      <w:tabs>
        <w:tab w:val="center" w:pos="4153" w:leader="none"/>
        <w:tab w:val="right" w:pos="8306" w:leader="none"/>
      </w:tabs>
      <w:pBdr>
        <w:bottom w:val="single" w:color="000000" w:sz="6" w:space="1"/>
      </w:pBdr>
    </w:pPr>
    <w:rPr>
      <w:sz w:val="18"/>
      <w:szCs w:val="18"/>
      <w:lang w:val="en-US" w:eastAsia="en-US"/>
    </w:rPr>
  </w:style>
  <w:style w:type="character" w:styleId="954">
    <w:name w:val="页眉 Char"/>
    <w:next w:val="954"/>
    <w:link w:val="953"/>
    <w:qFormat/>
    <w:rPr>
      <w:rFonts w:ascii="Times New Roman" w:hAnsi="Times New Roman" w:eastAsia="宋体" w:cs="Times New Roman"/>
      <w:sz w:val="18"/>
      <w:szCs w:val="18"/>
    </w:rPr>
  </w:style>
  <w:style w:type="paragraph" w:styleId="955">
    <w:name w:val="目录 1"/>
    <w:basedOn w:val="903"/>
    <w:next w:val="903"/>
    <w:link w:val="1017"/>
    <w:qFormat/>
    <w:pPr>
      <w:jc w:val="left"/>
      <w:spacing w:before="120" w:after="120" w:line="400" w:lineRule="exact"/>
      <w:tabs>
        <w:tab w:val="right" w:pos="8720" w:leader="dot"/>
      </w:tabs>
    </w:pPr>
    <w:rPr>
      <w:rFonts w:ascii="宋体" w:hAnsi="宋体"/>
      <w:caps/>
      <w:sz w:val="24"/>
      <w:szCs w:val="24"/>
    </w:rPr>
  </w:style>
  <w:style w:type="paragraph" w:styleId="956">
    <w:name w:val="目录 4"/>
    <w:basedOn w:val="903"/>
    <w:next w:val="903"/>
    <w:link w:val="903"/>
    <w:semiHidden/>
    <w:pPr>
      <w:ind w:left="630"/>
      <w:jc w:val="left"/>
    </w:pPr>
  </w:style>
  <w:style w:type="paragraph" w:styleId="957">
    <w:name w:val="列表"/>
    <w:basedOn w:val="903"/>
    <w:next w:val="957"/>
    <w:link w:val="903"/>
    <w:pPr>
      <w:ind w:left="200" w:hanging="200"/>
    </w:pPr>
  </w:style>
  <w:style w:type="paragraph" w:styleId="958">
    <w:name w:val="目录 6"/>
    <w:basedOn w:val="903"/>
    <w:next w:val="903"/>
    <w:link w:val="903"/>
    <w:semiHidden/>
    <w:pPr>
      <w:ind w:left="1050"/>
      <w:jc w:val="left"/>
    </w:pPr>
  </w:style>
  <w:style w:type="paragraph" w:styleId="959">
    <w:name w:val="正文文本缩进 3"/>
    <w:basedOn w:val="903"/>
    <w:next w:val="959"/>
    <w:link w:val="960"/>
    <w:pPr>
      <w:ind w:left="645" w:firstLine="645"/>
    </w:pPr>
    <w:rPr>
      <w:rFonts w:ascii="Arial" w:hAnsi="Arial" w:eastAsia="仿宋_GB2312"/>
      <w:color w:val="ffff00"/>
      <w:sz w:val="32"/>
      <w:szCs w:val="32"/>
      <w:lang w:val="en-US" w:eastAsia="en-US"/>
    </w:rPr>
  </w:style>
  <w:style w:type="character" w:styleId="960">
    <w:name w:val="正文文本缩进 3 Char"/>
    <w:next w:val="960"/>
    <w:link w:val="959"/>
    <w:rPr>
      <w:rFonts w:ascii="Arial" w:hAnsi="Arial" w:eastAsia="仿宋_GB2312" w:cs="Arial"/>
      <w:color w:val="ffff00"/>
      <w:sz w:val="32"/>
      <w:szCs w:val="32"/>
    </w:rPr>
  </w:style>
  <w:style w:type="paragraph" w:styleId="961">
    <w:name w:val="图表目录"/>
    <w:basedOn w:val="903"/>
    <w:next w:val="903"/>
    <w:link w:val="903"/>
    <w:semiHidden/>
    <w:pPr>
      <w:ind w:left="840" w:hanging="420"/>
    </w:pPr>
  </w:style>
  <w:style w:type="paragraph" w:styleId="962">
    <w:name w:val="目录 2"/>
    <w:basedOn w:val="903"/>
    <w:next w:val="903"/>
    <w:link w:val="1020"/>
    <w:qFormat/>
    <w:pPr>
      <w:ind w:left="210"/>
      <w:jc w:val="left"/>
    </w:pPr>
    <w:rPr>
      <w:smallCaps/>
      <w:szCs w:val="24"/>
      <w:lang w:val="en-US" w:eastAsia="en-US"/>
    </w:rPr>
  </w:style>
  <w:style w:type="paragraph" w:styleId="963">
    <w:name w:val="目录 9"/>
    <w:basedOn w:val="903"/>
    <w:next w:val="903"/>
    <w:link w:val="903"/>
    <w:semiHidden/>
    <w:pPr>
      <w:ind w:left="1680"/>
      <w:jc w:val="left"/>
    </w:pPr>
  </w:style>
  <w:style w:type="paragraph" w:styleId="964">
    <w:name w:val="正文文本 2"/>
    <w:basedOn w:val="903"/>
    <w:next w:val="964"/>
    <w:link w:val="965"/>
    <w:pPr>
      <w:jc w:val="center"/>
      <w:widowControl/>
    </w:pPr>
    <w:rPr>
      <w:rFonts w:ascii="楷体_GB2312" w:eastAsia="楷体_GB2312"/>
      <w:sz w:val="28"/>
      <w:szCs w:val="28"/>
      <w:lang w:val="en-US" w:eastAsia="en-US"/>
    </w:rPr>
  </w:style>
  <w:style w:type="character" w:styleId="965">
    <w:name w:val="正文文本 2 Char"/>
    <w:next w:val="965"/>
    <w:link w:val="964"/>
    <w:rPr>
      <w:rFonts w:ascii="楷体_GB2312" w:hAnsi="Times New Roman" w:eastAsia="楷体_GB2312" w:cs="Times New Roman"/>
      <w:sz w:val="28"/>
      <w:szCs w:val="28"/>
    </w:rPr>
  </w:style>
  <w:style w:type="paragraph" w:styleId="966">
    <w:name w:val="普通(网站)"/>
    <w:basedOn w:val="903"/>
    <w:next w:val="966"/>
    <w:link w:val="903"/>
    <w:qFormat/>
    <w:pPr>
      <w:jc w:val="left"/>
      <w:spacing w:before="100" w:beforeAutospacing="1" w:after="100" w:afterAutospacing="1"/>
      <w:widowControl/>
    </w:pPr>
    <w:rPr>
      <w:rFonts w:ascii="宋体" w:hAnsi="宋体" w:cs="宋体"/>
      <w:sz w:val="24"/>
      <w:szCs w:val="24"/>
    </w:rPr>
  </w:style>
  <w:style w:type="paragraph" w:styleId="967">
    <w:name w:val="索引 1"/>
    <w:basedOn w:val="903"/>
    <w:next w:val="903"/>
    <w:link w:val="903"/>
    <w:semiHidden/>
    <w:pPr>
      <w:spacing w:line="240" w:lineRule="atLeast"/>
    </w:pPr>
    <w:rPr>
      <w:b/>
      <w:bCs/>
    </w:rPr>
  </w:style>
  <w:style w:type="paragraph" w:styleId="968">
    <w:name w:val="批注主题"/>
    <w:basedOn w:val="931"/>
    <w:next w:val="931"/>
    <w:link w:val="969"/>
    <w:semiHidden/>
    <w:rPr>
      <w:b/>
      <w:bCs/>
    </w:rPr>
  </w:style>
  <w:style w:type="character" w:styleId="969">
    <w:name w:val="批注主题 Char"/>
    <w:next w:val="969"/>
    <w:link w:val="968"/>
    <w:semiHidden/>
    <w:rPr>
      <w:rFonts w:ascii="Times New Roman" w:hAnsi="Times New Roman" w:eastAsia="宋体" w:cs="Times New Roman"/>
      <w:b/>
      <w:bCs/>
      <w:szCs w:val="21"/>
    </w:rPr>
  </w:style>
  <w:style w:type="paragraph" w:styleId="970">
    <w:name w:val="正文首行缩进"/>
    <w:basedOn w:val="903"/>
    <w:next w:val="970"/>
    <w:link w:val="971"/>
    <w:pPr>
      <w:ind w:firstLine="200"/>
      <w:spacing w:line="360" w:lineRule="auto"/>
    </w:pPr>
    <w:rPr>
      <w:rFonts w:ascii="仿宋_GB2312" w:eastAsia="仿宋_GB2312"/>
      <w:sz w:val="30"/>
      <w:szCs w:val="30"/>
      <w:lang w:val="en-US" w:eastAsia="en-US"/>
    </w:rPr>
  </w:style>
  <w:style w:type="character" w:styleId="971">
    <w:name w:val="正文首行缩进 Char"/>
    <w:next w:val="971"/>
    <w:link w:val="970"/>
    <w:rPr>
      <w:rFonts w:ascii="仿宋_GB2312" w:hAnsi="Times New Roman" w:eastAsia="仿宋_GB2312" w:cs="Times New Roman"/>
      <w:sz w:val="30"/>
      <w:szCs w:val="30"/>
    </w:rPr>
  </w:style>
  <w:style w:type="paragraph" w:styleId="972">
    <w:name w:val="正文首行缩进 2"/>
    <w:basedOn w:val="937"/>
    <w:next w:val="972"/>
    <w:link w:val="973"/>
    <w:qFormat/>
    <w:pPr>
      <w:ind w:firstLine="420"/>
      <w:spacing w:line="360" w:lineRule="auto"/>
    </w:pPr>
    <w:rPr>
      <w:rFonts w:ascii="宋体" w:hAnsi="宋体" w:eastAsia="宋体"/>
      <w:szCs w:val="20"/>
    </w:rPr>
  </w:style>
  <w:style w:type="character" w:styleId="973">
    <w:name w:val="正文首行缩进 2 Char"/>
    <w:next w:val="973"/>
    <w:link w:val="972"/>
    <w:qFormat/>
    <w:rPr>
      <w:rFonts w:ascii="宋体" w:hAnsi="宋体" w:eastAsia="宋体" w:cs="Times New Roman"/>
      <w:sz w:val="32"/>
      <w:szCs w:val="20"/>
    </w:rPr>
  </w:style>
  <w:style w:type="table" w:styleId="974">
    <w:name w:val="网格型"/>
    <w:basedOn w:val="914"/>
    <w:next w:val="974"/>
    <w:link w:val="903"/>
    <w:uiPriority w:val="39"/>
    <w:qFormat/>
    <w:pPr>
      <w:jc w:val="both"/>
      <w:widowControl w:val="off"/>
    </w:pPr>
    <w:rPr>
      <w:rFonts w:ascii="Times New Roman" w:hAnsi="Times New Roman" w:eastAsia="宋体" w:cs="Times New Roman"/>
      <w:sz w:val="20"/>
      <w:szCs w:val="20"/>
    </w:rPr>
    <w:tblPr/>
  </w:style>
  <w:style w:type="character" w:styleId="975">
    <w:name w:val="要点"/>
    <w:next w:val="975"/>
    <w:link w:val="903"/>
    <w:qFormat/>
    <w:rPr>
      <w:b/>
      <w:bCs/>
    </w:rPr>
  </w:style>
  <w:style w:type="character" w:styleId="976">
    <w:name w:val="页码"/>
    <w:next w:val="976"/>
    <w:link w:val="903"/>
  </w:style>
  <w:style w:type="character" w:styleId="977">
    <w:name w:val="已访问的超链接"/>
    <w:next w:val="977"/>
    <w:link w:val="903"/>
    <w:rPr>
      <w:color w:val="800080"/>
      <w:u w:val="single"/>
    </w:rPr>
  </w:style>
  <w:style w:type="character" w:styleId="978">
    <w:name w:val="超链接"/>
    <w:next w:val="978"/>
    <w:link w:val="903"/>
    <w:qFormat/>
    <w:rPr>
      <w:color w:val="0000ff"/>
      <w:u w:val="single"/>
    </w:rPr>
  </w:style>
  <w:style w:type="character" w:styleId="979">
    <w:name w:val="批注引用"/>
    <w:next w:val="979"/>
    <w:link w:val="903"/>
    <w:uiPriority w:val="99"/>
    <w:semiHidden/>
    <w:qFormat/>
    <w:rPr>
      <w:sz w:val="21"/>
      <w:szCs w:val="21"/>
    </w:rPr>
  </w:style>
  <w:style w:type="character" w:styleId="980">
    <w:name w:val="font5 Char"/>
    <w:next w:val="980"/>
    <w:link w:val="903"/>
    <w:rPr>
      <w:rFonts w:ascii="宋体" w:hAnsi="宋体" w:eastAsia="宋体"/>
      <w:sz w:val="28"/>
      <w:szCs w:val="28"/>
      <w:lang w:val="en-US" w:eastAsia="zh-CN" w:bidi="ar-SA"/>
    </w:rPr>
  </w:style>
  <w:style w:type="character" w:styleId="981">
    <w:name w:val="二级目录 Char"/>
    <w:next w:val="981"/>
    <w:link w:val="982"/>
    <w:rPr>
      <w:b/>
      <w:sz w:val="30"/>
      <w:szCs w:val="28"/>
      <w:lang w:val="en-US" w:eastAsia="zh-CN" w:bidi="ar-SA"/>
    </w:rPr>
  </w:style>
  <w:style w:type="paragraph" w:styleId="982">
    <w:name w:val="二级目录"/>
    <w:next w:val="903"/>
    <w:link w:val="981"/>
    <w:pPr>
      <w:numPr>
        <w:ilvl w:val="0"/>
        <w:numId w:val="2"/>
      </w:numPr>
      <w:tabs>
        <w:tab w:val="left" w:pos="907" w:leader="none"/>
        <w:tab w:val="left" w:pos="1145" w:leader="none"/>
      </w:tabs>
      <w:outlineLvl w:val="1"/>
    </w:pPr>
    <w:rPr>
      <w:b/>
      <w:sz w:val="30"/>
      <w:szCs w:val="28"/>
      <w:lang w:val="en-US" w:eastAsia="zh-CN" w:bidi="ar-SA"/>
    </w:rPr>
  </w:style>
  <w:style w:type="character" w:styleId="983">
    <w:name w:val="列出段落 Char,Bullet List Char,numbered Char,FooterText Char,List Paragraph1 Char,Paragraphe de liste1 Char"/>
    <w:next w:val="983"/>
    <w:link w:val="984"/>
    <w:rPr>
      <w:rFonts w:ascii="Calibri" w:hAnsi="Calibri"/>
      <w:sz w:val="24"/>
      <w:szCs w:val="24"/>
      <w:lang w:eastAsia="en-US" w:bidi="en-US"/>
    </w:rPr>
  </w:style>
  <w:style w:type="paragraph" w:styleId="984">
    <w:name w:val="列出段落1"/>
    <w:basedOn w:val="903"/>
    <w:next w:val="984"/>
    <w:link w:val="983"/>
    <w:qFormat/>
    <w:pPr>
      <w:contextualSpacing/>
      <w:ind w:left="720"/>
      <w:jc w:val="left"/>
      <w:widowControl/>
    </w:pPr>
    <w:rPr>
      <w:rFonts w:ascii="Calibri" w:hAnsi="Calibri"/>
      <w:sz w:val="24"/>
      <w:szCs w:val="24"/>
      <w:lang w:val="en-US" w:eastAsia="en-US" w:bidi="en-US"/>
    </w:rPr>
  </w:style>
  <w:style w:type="paragraph" w:styleId="985">
    <w:name w:val="Body Text(ch)"/>
    <w:basedOn w:val="903"/>
    <w:next w:val="935"/>
    <w:link w:val="903"/>
    <w:pPr>
      <w:spacing w:after="120"/>
    </w:pPr>
    <w:rPr>
      <w:rFonts w:ascii="宋体" w:hAnsi="Arial"/>
      <w:bCs/>
      <w:iCs/>
      <w:szCs w:val="24"/>
    </w:rPr>
  </w:style>
  <w:style w:type="paragraph" w:styleId="986">
    <w:name w:val="xl27"/>
    <w:basedOn w:val="903"/>
    <w:next w:val="986"/>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6"/>
    <w:basedOn w:val="903"/>
    <w:next w:val="987"/>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8">
    <w:name w:val="Char"/>
    <w:basedOn w:val="903"/>
    <w:next w:val="988"/>
    <w:link w:val="903"/>
    <w:pPr>
      <w:ind w:firstLine="200"/>
      <w:tabs>
        <w:tab w:val="left" w:pos="360" w:leader="none"/>
      </w:tabs>
    </w:pPr>
    <w:rPr>
      <w:sz w:val="28"/>
      <w:szCs w:val="30"/>
    </w:rPr>
  </w:style>
  <w:style w:type="paragraph" w:styleId="989">
    <w:name w:val=" Char"/>
    <w:basedOn w:val="929"/>
    <w:next w:val="989"/>
    <w:link w:val="903"/>
    <w:rPr>
      <w:rFonts w:ascii="Tahoma" w:hAnsi="Tahoma"/>
      <w:sz w:val="24"/>
      <w:szCs w:val="24"/>
    </w:rPr>
  </w:style>
  <w:style w:type="paragraph" w:styleId="990">
    <w:name w:val="普通正文"/>
    <w:basedOn w:val="903"/>
    <w:next w:val="990"/>
    <w:link w:val="1026"/>
    <w:qFormat/>
    <w:pPr>
      <w:ind w:firstLine="480"/>
      <w:jc w:val="left"/>
      <w:spacing w:before="120" w:after="120" w:line="360" w:lineRule="auto"/>
    </w:pPr>
    <w:rPr>
      <w:rFonts w:ascii="Arial" w:hAnsi="Arial"/>
      <w:sz w:val="24"/>
      <w:szCs w:val="24"/>
      <w:lang w:val="en-US" w:eastAsia="en-US"/>
    </w:rPr>
  </w:style>
  <w:style w:type="paragraph" w:styleId="991">
    <w:name w:val="table_lines"/>
    <w:basedOn w:val="903"/>
    <w:next w:val="991"/>
    <w:link w:val="903"/>
    <w:pPr>
      <w:jc w:val="left"/>
      <w:widowControl/>
    </w:pPr>
    <w:rPr>
      <w:sz w:val="20"/>
      <w:szCs w:val="20"/>
      <w:lang w:val="de-DE" w:eastAsia="de-DE"/>
    </w:rPr>
  </w:style>
  <w:style w:type="paragraph" w:styleId="992">
    <w:name w:val="附录1"/>
    <w:next w:val="992"/>
    <w:link w:val="90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3">
    <w:name w:val="font7"/>
    <w:basedOn w:val="903"/>
    <w:next w:val="993"/>
    <w:link w:val="903"/>
    <w:pPr>
      <w:jc w:val="left"/>
      <w:spacing w:before="100" w:beforeAutospacing="1" w:after="100" w:afterAutospacing="1"/>
      <w:widowControl/>
    </w:pPr>
    <w:rPr>
      <w:rFonts w:hint="eastAsia" w:ascii="宋体" w:hAnsi="宋体"/>
      <w:sz w:val="18"/>
      <w:szCs w:val="18"/>
    </w:rPr>
  </w:style>
  <w:style w:type="paragraph" w:styleId="994">
    <w:name w:val=" Char Char Char Char"/>
    <w:basedOn w:val="929"/>
    <w:next w:val="994"/>
    <w:link w:val="903"/>
    <w:pPr>
      <w:spacing w:line="360" w:lineRule="auto"/>
    </w:pPr>
    <w:rPr>
      <w:rFonts w:ascii="Tahoma" w:hAnsi="Tahoma"/>
      <w:sz w:val="24"/>
      <w:szCs w:val="24"/>
    </w:rPr>
  </w:style>
  <w:style w:type="paragraph" w:styleId="995">
    <w:name w:val="列出段落"/>
    <w:basedOn w:val="903"/>
    <w:next w:val="995"/>
    <w:link w:val="903"/>
    <w:uiPriority w:val="34"/>
    <w:qFormat/>
    <w:pPr>
      <w:contextualSpacing/>
      <w:ind w:left="720"/>
      <w:jc w:val="left"/>
      <w:widowControl/>
    </w:pPr>
    <w:rPr>
      <w:rFonts w:ascii="Calibri" w:hAnsi="Calibri"/>
      <w:sz w:val="24"/>
      <w:szCs w:val="24"/>
      <w:lang w:eastAsia="en-US" w:bidi="en-US"/>
    </w:rPr>
  </w:style>
  <w:style w:type="paragraph" w:styleId="996">
    <w:name w:val="4"/>
    <w:basedOn w:val="903"/>
    <w:next w:val="959"/>
    <w:link w:val="903"/>
    <w:pPr>
      <w:ind w:firstLine="420"/>
      <w:spacing w:line="360" w:lineRule="auto"/>
    </w:pPr>
    <w:rPr>
      <w:color w:val="ff0000"/>
      <w:sz w:val="24"/>
      <w:szCs w:val="24"/>
    </w:rPr>
  </w:style>
  <w:style w:type="paragraph" w:styleId="997">
    <w:name w:val="普通 (Web)"/>
    <w:basedOn w:val="903"/>
    <w:next w:val="997"/>
    <w:link w:val="903"/>
    <w:pPr>
      <w:jc w:val="left"/>
      <w:spacing w:before="100" w:beforeAutospacing="1" w:after="100" w:afterAutospacing="1"/>
      <w:widowControl/>
    </w:pPr>
    <w:rPr>
      <w:rFonts w:ascii="宋体" w:hAnsi="宋体"/>
      <w:sz w:val="24"/>
      <w:szCs w:val="24"/>
    </w:rPr>
  </w:style>
  <w:style w:type="paragraph" w:styleId="998">
    <w:name w:val=" Char Char Char Char Char Char Char Char Char Char"/>
    <w:basedOn w:val="903"/>
    <w:next w:val="998"/>
    <w:link w:val="903"/>
    <w:pPr>
      <w:spacing w:line="360" w:lineRule="auto"/>
    </w:pPr>
    <w:rPr>
      <w:sz w:val="24"/>
      <w:szCs w:val="20"/>
    </w:rPr>
  </w:style>
  <w:style w:type="paragraph" w:styleId="999">
    <w:name w:val="样式1"/>
    <w:basedOn w:val="903"/>
    <w:next w:val="999"/>
    <w:link w:val="903"/>
    <w:qFormat/>
    <w:pPr>
      <w:numPr>
        <w:ilvl w:val="0"/>
        <w:numId w:val="3"/>
      </w:numPr>
      <w:tabs>
        <w:tab w:val="left" w:pos="709" w:leader="none"/>
      </w:tabs>
    </w:pPr>
    <w:rPr>
      <w:rFonts w:ascii="宋体" w:hAnsi="宋体"/>
    </w:rPr>
  </w:style>
  <w:style w:type="paragraph" w:styleId="1000">
    <w:name w:val="font6"/>
    <w:basedOn w:val="903"/>
    <w:next w:val="1000"/>
    <w:link w:val="903"/>
    <w:pPr>
      <w:jc w:val="left"/>
      <w:spacing w:before="100" w:beforeAutospacing="1" w:after="100" w:afterAutospacing="1"/>
      <w:widowControl/>
    </w:pPr>
    <w:rPr>
      <w:rFonts w:hint="eastAsia" w:ascii="宋体" w:hAnsi="宋体"/>
      <w:sz w:val="28"/>
      <w:szCs w:val="28"/>
      <w:u w:val="single"/>
    </w:rPr>
  </w:style>
  <w:style w:type="paragraph" w:styleId="1001">
    <w:name w:val="xl25"/>
    <w:basedOn w:val="903"/>
    <w:next w:val="1001"/>
    <w:link w:val="9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name w:val="图标"/>
    <w:basedOn w:val="903"/>
    <w:next w:val="903"/>
    <w:link w:val="90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3">
    <w:name w:val="标题3"/>
    <w:basedOn w:val="903"/>
    <w:next w:val="903"/>
    <w:link w:val="903"/>
    <w:pPr>
      <w:ind w:firstLine="624"/>
      <w:spacing w:line="590" w:lineRule="atLeast"/>
    </w:pPr>
    <w:rPr>
      <w:rFonts w:ascii="方正黑体_GBK" w:eastAsia="方正黑体_GBK"/>
      <w:sz w:val="32"/>
      <w:szCs w:val="32"/>
    </w:rPr>
  </w:style>
  <w:style w:type="paragraph" w:styleId="1004">
    <w:name w:val="xl24"/>
    <w:basedOn w:val="903"/>
    <w:next w:val="1004"/>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name w:val="xl29"/>
    <w:basedOn w:val="903"/>
    <w:next w:val="1005"/>
    <w:link w:val="90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6">
    <w:name w:val="Char Char Char Char Char Char Char Char"/>
    <w:basedOn w:val="903"/>
    <w:next w:val="1006"/>
    <w:link w:val="903"/>
    <w:pPr>
      <w:jc w:val="left"/>
      <w:spacing w:after="160" w:line="240" w:lineRule="exact"/>
      <w:widowControl/>
    </w:pPr>
    <w:rPr>
      <w:rFonts w:ascii="Verdana" w:hAnsi="Verdana"/>
      <w:sz w:val="20"/>
      <w:szCs w:val="20"/>
      <w:lang w:eastAsia="en-US"/>
    </w:rPr>
  </w:style>
  <w:style w:type="paragraph" w:styleId="1007">
    <w:name w:val="xl28"/>
    <w:basedOn w:val="903"/>
    <w:next w:val="1007"/>
    <w:link w:val="9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8">
    <w:name w:val=" Char Char Char Char Char Char Char Char"/>
    <w:basedOn w:val="903"/>
    <w:next w:val="1008"/>
    <w:link w:val="903"/>
    <w:pPr>
      <w:jc w:val="left"/>
      <w:spacing w:after="160" w:line="240" w:lineRule="exact"/>
      <w:widowControl/>
    </w:pPr>
    <w:rPr>
      <w:rFonts w:ascii="Verdana" w:hAnsi="Verdana"/>
      <w:sz w:val="20"/>
      <w:szCs w:val="20"/>
      <w:lang w:eastAsia="en-US"/>
    </w:rPr>
  </w:style>
  <w:style w:type="paragraph" w:styleId="1009">
    <w:name w:val="xl30"/>
    <w:basedOn w:val="903"/>
    <w:next w:val="1009"/>
    <w:link w:val="903"/>
    <w:pPr>
      <w:jc w:val="center"/>
      <w:spacing w:before="100" w:beforeAutospacing="1" w:after="100" w:afterAutospacing="1"/>
      <w:widowControl/>
    </w:pPr>
    <w:rPr>
      <w:rFonts w:ascii="宋体" w:hAnsi="宋体"/>
      <w:b/>
      <w:bCs/>
      <w:sz w:val="36"/>
      <w:szCs w:val="36"/>
    </w:rPr>
  </w:style>
  <w:style w:type="paragraph" w:styleId="1010">
    <w:name w:val="Char Char Char Char"/>
    <w:basedOn w:val="929"/>
    <w:next w:val="1010"/>
    <w:link w:val="903"/>
    <w:pPr>
      <w:spacing w:line="360" w:lineRule="auto"/>
    </w:pPr>
    <w:rPr>
      <w:rFonts w:ascii="Tahoma" w:hAnsi="Tahoma"/>
      <w:sz w:val="24"/>
      <w:szCs w:val="24"/>
    </w:rPr>
  </w:style>
  <w:style w:type="paragraph" w:styleId="1011">
    <w:name w:val="table_1stline"/>
    <w:basedOn w:val="903"/>
    <w:next w:val="1011"/>
    <w:link w:val="903"/>
    <w:pPr>
      <w:jc w:val="left"/>
      <w:spacing w:before="120"/>
      <w:widowControl/>
    </w:pPr>
    <w:rPr>
      <w:bCs/>
      <w:sz w:val="20"/>
      <w:szCs w:val="20"/>
      <w:lang w:val="de-DE" w:eastAsia="de-DE"/>
    </w:rPr>
  </w:style>
  <w:style w:type="paragraph" w:styleId="1012">
    <w:name w:val="font5"/>
    <w:basedOn w:val="903"/>
    <w:next w:val="1012"/>
    <w:link w:val="903"/>
    <w:pPr>
      <w:jc w:val="left"/>
      <w:spacing w:before="100" w:beforeAutospacing="1" w:after="100" w:afterAutospacing="1"/>
      <w:widowControl/>
    </w:pPr>
    <w:rPr>
      <w:rFonts w:hint="eastAsia" w:ascii="宋体" w:hAnsi="宋体"/>
      <w:sz w:val="28"/>
      <w:szCs w:val="28"/>
    </w:rPr>
  </w:style>
  <w:style w:type="paragraph" w:styleId="1013">
    <w:name w:val="标题1"/>
    <w:basedOn w:val="903"/>
    <w:next w:val="903"/>
    <w:link w:val="90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4">
    <w:name w:val="修订"/>
    <w:next w:val="1014"/>
    <w:link w:val="903"/>
    <w:uiPriority w:val="99"/>
    <w:semiHidden/>
    <w:rPr>
      <w:rFonts w:ascii="Times New Roman" w:hAnsi="Times New Roman"/>
      <w:sz w:val="21"/>
      <w:szCs w:val="21"/>
      <w:lang w:val="en-US" w:eastAsia="zh-CN" w:bidi="ar-SA"/>
    </w:rPr>
  </w:style>
  <w:style w:type="paragraph" w:styleId="1015">
    <w:name w:val="无间隔"/>
    <w:next w:val="1015"/>
    <w:link w:val="903"/>
    <w:uiPriority w:val="99"/>
    <w:qFormat/>
    <w:pPr>
      <w:jc w:val="both"/>
      <w:widowControl w:val="off"/>
    </w:pPr>
    <w:rPr>
      <w:rFonts w:ascii="Times New Roman" w:hAnsi="Times New Roman"/>
      <w:sz w:val="21"/>
      <w:szCs w:val="21"/>
      <w:lang w:val="en-US" w:eastAsia="zh-CN" w:bidi="ar-SA"/>
    </w:rPr>
  </w:style>
  <w:style w:type="character" w:styleId="1016">
    <w:name w:val="强调"/>
    <w:basedOn w:val="913"/>
    <w:next w:val="1016"/>
    <w:link w:val="903"/>
    <w:qFormat/>
    <w:rPr>
      <w:i/>
    </w:rPr>
  </w:style>
  <w:style w:type="character" w:styleId="1017">
    <w:name w:val="目录 1 Char"/>
    <w:next w:val="1017"/>
    <w:link w:val="955"/>
    <w:qFormat/>
    <w:rPr>
      <w:rFonts w:ascii="宋体" w:hAnsi="宋体"/>
      <w:caps/>
      <w:sz w:val="24"/>
      <w:szCs w:val="24"/>
    </w:rPr>
  </w:style>
  <w:style w:type="paragraph" w:styleId="1018">
    <w:name w:val="脚注文本"/>
    <w:basedOn w:val="903"/>
    <w:next w:val="1018"/>
    <w:link w:val="1019"/>
    <w:pPr>
      <w:jc w:val="left"/>
    </w:pPr>
    <w:rPr>
      <w:sz w:val="18"/>
      <w:szCs w:val="18"/>
    </w:rPr>
  </w:style>
  <w:style w:type="character" w:styleId="1019">
    <w:name w:val="脚注文本 Char"/>
    <w:basedOn w:val="913"/>
    <w:next w:val="1019"/>
    <w:link w:val="1018"/>
    <w:rPr>
      <w:rFonts w:ascii="Times New Roman" w:hAnsi="Times New Roman"/>
      <w:sz w:val="18"/>
      <w:szCs w:val="18"/>
    </w:rPr>
  </w:style>
  <w:style w:type="character" w:styleId="1020">
    <w:name w:val="目录 2 Char"/>
    <w:next w:val="1020"/>
    <w:link w:val="962"/>
    <w:qFormat/>
    <w:rPr>
      <w:rFonts w:ascii="Times New Roman" w:hAnsi="Times New Roman"/>
      <w:smallCaps/>
      <w:sz w:val="21"/>
      <w:szCs w:val="24"/>
    </w:rPr>
  </w:style>
  <w:style w:type="paragraph" w:styleId="1021">
    <w:name w:val="UserStyle_63"/>
    <w:next w:val="977"/>
    <w:link w:val="903"/>
    <w:qFormat/>
    <w:pPr>
      <w:jc w:val="both"/>
      <w:widowControl w:val="off"/>
    </w:pPr>
    <w:rPr>
      <w:rFonts w:ascii="Times New Roman" w:hAnsi="Times New Roman"/>
      <w:sz w:val="21"/>
      <w:szCs w:val="21"/>
      <w:lang w:val="en-US" w:eastAsia="zh-CN" w:bidi="ar-SA"/>
    </w:rPr>
  </w:style>
  <w:style w:type="character" w:styleId="1022">
    <w:name w:val="脚注引用"/>
    <w:next w:val="1022"/>
    <w:link w:val="903"/>
    <w:rPr>
      <w:vertAlign w:val="superscript"/>
    </w:rPr>
  </w:style>
  <w:style w:type="paragraph" w:styleId="1023">
    <w:name w:val="正文首行缩进1"/>
    <w:basedOn w:val="1024"/>
    <w:next w:val="1023"/>
    <w:link w:val="903"/>
    <w:qFormat/>
    <w:pPr>
      <w:ind w:firstLine="200"/>
      <w:spacing w:line="360" w:lineRule="auto"/>
    </w:pPr>
    <w:rPr>
      <w:rFonts w:ascii="仿宋_GB2312" w:hAnsi="Times New Roman" w:eastAsia="仿宋_GB2312"/>
      <w:sz w:val="30"/>
      <w:szCs w:val="30"/>
    </w:rPr>
  </w:style>
  <w:style w:type="paragraph" w:styleId="1024">
    <w:name w:val="正文文本1"/>
    <w:basedOn w:val="903"/>
    <w:next w:val="1024"/>
    <w:link w:val="903"/>
    <w:qFormat/>
    <w:rPr>
      <w:rFonts w:ascii="楷体_GB2312" w:hAnsi="Arial" w:eastAsia="楷体_GB2312"/>
      <w:sz w:val="28"/>
      <w:szCs w:val="28"/>
    </w:rPr>
  </w:style>
  <w:style w:type="paragraph" w:styleId="1025">
    <w:name w:val="正文宋体小四1.5行距"/>
    <w:basedOn w:val="903"/>
    <w:next w:val="1025"/>
    <w:link w:val="903"/>
    <w:qFormat/>
    <w:pPr>
      <w:ind w:firstLine="1446"/>
      <w:spacing w:line="360" w:lineRule="auto"/>
    </w:pPr>
    <w:rPr>
      <w:rFonts w:ascii="Calibri" w:hAnsi="Calibri"/>
      <w:sz w:val="24"/>
    </w:rPr>
  </w:style>
  <w:style w:type="character" w:styleId="1026">
    <w:name w:val="普通正文 Char"/>
    <w:next w:val="1026"/>
    <w:link w:val="990"/>
    <w:qFormat/>
    <w:rPr>
      <w:rFonts w:ascii="Arial" w:hAnsi="Arial"/>
      <w:sz w:val="24"/>
      <w:szCs w:val="24"/>
    </w:rPr>
  </w:style>
  <w:style w:type="paragraph" w:styleId="1027">
    <w:name w:val="彩色列表 - 着色 11"/>
    <w:basedOn w:val="903"/>
    <w:next w:val="1027"/>
    <w:link w:val="903"/>
    <w:uiPriority w:val="99"/>
    <w:qFormat/>
    <w:pPr>
      <w:ind w:left="890" w:firstLine="420"/>
      <w:jc w:val="left"/>
    </w:pPr>
    <w:rPr>
      <w:rFonts w:ascii="宋体" w:hAnsi="宋体" w:cs="宋体"/>
      <w:sz w:val="22"/>
      <w:lang w:val="zh-CN" w:bidi="zh-CN"/>
    </w:rPr>
  </w:style>
  <w:style w:type="paragraph" w:styleId="1028">
    <w:name w:val="Default"/>
    <w:next w:val="1028"/>
    <w:link w:val="903"/>
    <w:uiPriority w:val="99"/>
    <w:qFormat/>
    <w:pPr>
      <w:widowControl w:val="off"/>
    </w:pPr>
    <w:rPr>
      <w:color w:val="000000"/>
      <w:sz w:val="24"/>
      <w:szCs w:val="24"/>
      <w:lang w:val="en-US" w:eastAsia="zh-CN" w:bidi="ar-SA"/>
    </w:rPr>
  </w:style>
  <w:style w:type="paragraph" w:styleId="1029">
    <w:name w:val="正文 + 宋体"/>
    <w:basedOn w:val="903"/>
    <w:next w:val="1029"/>
    <w:link w:val="903"/>
    <w:qFormat/>
    <w:pPr>
      <w:spacing w:line="360" w:lineRule="auto"/>
    </w:pPr>
    <w:rPr>
      <w:rFonts w:ascii="Calibri" w:hAnsi="Calibri"/>
      <w:sz w:val="24"/>
      <w:szCs w:val="24"/>
    </w:rPr>
  </w:style>
  <w:style w:type="paragraph" w:styleId="1030">
    <w:name w:val="正文 宋体小四1.5行距缩进"/>
    <w:basedOn w:val="935"/>
    <w:next w:val="1030"/>
    <w:link w:val="903"/>
    <w:qFormat/>
    <w:pPr>
      <w:ind w:firstLine="723"/>
      <w:spacing w:line="360" w:lineRule="auto"/>
    </w:pPr>
    <w:rPr>
      <w:rFonts w:ascii="Calibri" w:hAnsi="Calibri" w:eastAsia="宋体"/>
      <w:sz w:val="24"/>
      <w:szCs w:val="24"/>
      <w:lang w:val="en-US" w:eastAsia="zh-CN"/>
    </w:rPr>
  </w:style>
  <w:style w:type="character" w:styleId="1031">
    <w:name w:val="NormalCharacter1"/>
    <w:next w:val="1031"/>
    <w:link w:val="903"/>
    <w:qFormat/>
    <w:rPr>
      <w:sz w:val="21"/>
      <w:szCs w:val="21"/>
      <w:lang w:val="en-US" w:eastAsia="zh-CN" w:bidi="ar-SA"/>
    </w:rPr>
  </w:style>
  <w:style w:type="paragraph" w:styleId="1032">
    <w:name w:val="_Style 540"/>
    <w:basedOn w:val="903"/>
    <w:next w:val="903"/>
    <w:link w:val="903"/>
    <w:qFormat/>
    <w:pPr>
      <w:contextualSpacing/>
      <w:ind w:left="720"/>
      <w:jc w:val="left"/>
      <w:widowControl/>
    </w:pPr>
    <w:rPr>
      <w:rFonts w:ascii="仿宋_GB2312" w:hAnsi="Calibri" w:eastAsia="仿宋_GB2312"/>
      <w:sz w:val="30"/>
      <w:szCs w:val="30"/>
    </w:rPr>
  </w:style>
  <w:style w:type="paragraph" w:styleId="1033">
    <w:name w:val="列表段落1"/>
    <w:basedOn w:val="903"/>
    <w:next w:val="1033"/>
    <w:link w:val="903"/>
    <w:uiPriority w:val="99"/>
    <w:unhideWhenUsed/>
    <w:qFormat/>
    <w:pPr>
      <w:ind w:firstLine="420"/>
    </w:pPr>
    <w:rPr>
      <w:rFonts w:ascii="Calibri" w:hAnsi="Calibri"/>
    </w:rPr>
  </w:style>
  <w:style w:type="character" w:styleId="1034">
    <w:name w:val="font11"/>
    <w:next w:val="1034"/>
    <w:link w:val="903"/>
    <w:qFormat/>
    <w:rPr>
      <w:rFonts w:ascii="Calibri" w:hAnsi="Calibri" w:cs="Calibri"/>
      <w:b/>
      <w:color w:val="000000"/>
      <w:sz w:val="22"/>
      <w:szCs w:val="22"/>
      <w:u w:val="none"/>
    </w:rPr>
  </w:style>
  <w:style w:type="character" w:styleId="1035">
    <w:name w:val="font31"/>
    <w:next w:val="1035"/>
    <w:link w:val="903"/>
    <w:qFormat/>
    <w:rPr>
      <w:rFonts w:hint="eastAsia" w:ascii="宋体" w:hAnsi="宋体" w:eastAsia="宋体" w:cs="宋体"/>
      <w:b/>
      <w:color w:val="000000"/>
      <w:sz w:val="22"/>
      <w:szCs w:val="22"/>
      <w:u w:val="none"/>
    </w:rPr>
  </w:style>
  <w:style w:type="character" w:styleId="1036">
    <w:name w:val="font01"/>
    <w:next w:val="1036"/>
    <w:link w:val="903"/>
    <w:qFormat/>
    <w:rPr>
      <w:rFonts w:hint="eastAsia" w:ascii="宋体" w:hAnsi="宋体" w:eastAsia="宋体" w:cs="宋体"/>
      <w:color w:val="000000"/>
      <w:sz w:val="22"/>
      <w:szCs w:val="22"/>
      <w:u w:val="none"/>
    </w:rPr>
  </w:style>
  <w:style w:type="character" w:styleId="1037">
    <w:name w:val="time"/>
    <w:next w:val="1037"/>
    <w:link w:val="903"/>
    <w:qFormat/>
    <w:rPr>
      <w:sz w:val="14"/>
      <w:szCs w:val="14"/>
    </w:rPr>
  </w:style>
  <w:style w:type="character" w:styleId="1038">
    <w:name w:val="ui-icon32"/>
    <w:next w:val="1038"/>
    <w:link w:val="903"/>
    <w:qFormat/>
  </w:style>
  <w:style w:type="character" w:styleId="1039">
    <w:name w:val="ui-icon33"/>
    <w:next w:val="1039"/>
    <w:link w:val="903"/>
    <w:qFormat/>
  </w:style>
  <w:style w:type="character" w:styleId="1040">
    <w:name w:val="ui-icon31"/>
    <w:next w:val="1040"/>
    <w:link w:val="903"/>
    <w:qFormat/>
  </w:style>
  <w:style w:type="character" w:styleId="1041">
    <w:name w:val="ui-icon30"/>
    <w:next w:val="1041"/>
    <w:link w:val="903"/>
    <w:qFormat/>
  </w:style>
  <w:style w:type="character" w:styleId="1042">
    <w:name w:val="纯文本 Char2"/>
    <w:next w:val="1042"/>
    <w:link w:val="903"/>
    <w:qFormat/>
    <w:rPr>
      <w:rFonts w:ascii="宋体" w:hAnsi="Courier New"/>
      <w:szCs w:val="21"/>
    </w:rPr>
  </w:style>
  <w:style w:type="paragraph" w:styleId="1043">
    <w:name w:val="报告正文"/>
    <w:basedOn w:val="903"/>
    <w:next w:val="1043"/>
    <w:link w:val="903"/>
    <w:uiPriority w:val="99"/>
    <w:qFormat/>
    <w:pPr>
      <w:ind w:firstLine="560"/>
    </w:pPr>
    <w:rPr>
      <w:sz w:val="28"/>
      <w:szCs w:val="28"/>
    </w:rPr>
  </w:style>
  <w:style w:type="paragraph" w:styleId="1044">
    <w:name w:val="[正文]"/>
    <w:basedOn w:val="903"/>
    <w:next w:val="1044"/>
    <w:link w:val="903"/>
    <w:qFormat/>
    <w:pPr>
      <w:ind w:firstLine="480"/>
      <w:spacing w:line="360" w:lineRule="auto"/>
      <w:widowControl/>
    </w:pPr>
    <w:rPr>
      <w:rFonts w:ascii="宋体" w:hAnsi="宋体"/>
      <w:sz w:val="20"/>
      <w:szCs w:val="20"/>
      <w:lang w:eastAsia="en-US"/>
    </w:rPr>
  </w:style>
  <w:style w:type="paragraph" w:styleId="1045">
    <w:name w:val="Table Paragraph"/>
    <w:basedOn w:val="903"/>
    <w:next w:val="1045"/>
    <w:link w:val="903"/>
    <w:uiPriority w:val="1"/>
    <w:qFormat/>
    <w:pPr>
      <w:jc w:val="left"/>
    </w:pPr>
    <w:rPr>
      <w:rFonts w:ascii="宋体" w:hAnsi="宋体" w:cs="宋体"/>
      <w:sz w:val="22"/>
      <w:szCs w:val="22"/>
      <w:lang w:eastAsia="en-US"/>
    </w:r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3</cp:revision>
  <dcterms:modified xsi:type="dcterms:W3CDTF">2026-05-14T07:32:46Z</dcterms:modified>
</cp:coreProperties>
</file>